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仿宋" w:hAnsi="仿宋" w:eastAsia="仿宋" w:cs="仿宋"/>
          <w:highlight w:val="none"/>
        </w:rPr>
      </w:pPr>
      <w:bookmarkStart w:id="0" w:name="_Toc325446794"/>
      <w:bookmarkStart w:id="1" w:name="_Toc326783408"/>
      <w:bookmarkStart w:id="2" w:name="_Toc325731733"/>
      <w:r>
        <w:rPr>
          <w:rFonts w:hint="eastAsia" w:ascii="仿宋" w:hAnsi="仿宋" w:eastAsia="仿宋" w:cs="仿宋"/>
          <w:highlight w:val="none"/>
        </w:rPr>
        <w:t>项目编号：</w:t>
      </w:r>
      <w:bookmarkEnd w:id="0"/>
      <w:bookmarkEnd w:id="1"/>
      <w:bookmarkEnd w:id="2"/>
      <w:r>
        <w:rPr>
          <w:rFonts w:hint="eastAsia" w:ascii="仿宋" w:hAnsi="仿宋" w:eastAsia="仿宋" w:cs="仿宋"/>
          <w:highlight w:val="none"/>
        </w:rPr>
        <w:t>SHSDZB2022-019</w:t>
      </w:r>
    </w:p>
    <w:p>
      <w:pPr>
        <w:spacing w:line="360" w:lineRule="auto"/>
        <w:jc w:val="left"/>
        <w:rPr>
          <w:rFonts w:ascii="仿宋" w:hAnsi="仿宋" w:eastAsia="仿宋" w:cs="仿宋"/>
          <w:b/>
          <w:bCs/>
          <w:sz w:val="48"/>
          <w:szCs w:val="48"/>
          <w:highlight w:val="none"/>
        </w:rPr>
      </w:pPr>
      <w:bookmarkStart w:id="3" w:name="OLE_LINK1"/>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中国石油大学(华东)</w:t>
      </w: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古镇口校区青年教师宿舍床及柜类家具</w:t>
      </w: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校内招标</w:t>
      </w:r>
      <w:bookmarkEnd w:id="3"/>
      <w:r>
        <w:rPr>
          <w:rFonts w:hint="eastAsia" w:ascii="仿宋" w:hAnsi="仿宋" w:eastAsia="仿宋" w:cs="仿宋"/>
          <w:b/>
          <w:bCs/>
          <w:sz w:val="48"/>
          <w:szCs w:val="48"/>
          <w:highlight w:val="none"/>
        </w:rPr>
        <w:t>文件</w:t>
      </w:r>
    </w:p>
    <w:p>
      <w:pPr>
        <w:spacing w:line="360" w:lineRule="auto"/>
        <w:jc w:val="center"/>
        <w:rPr>
          <w:rFonts w:ascii="仿宋" w:hAnsi="仿宋" w:eastAsia="仿宋" w:cs="仿宋"/>
          <w:b/>
          <w:bCs/>
          <w:sz w:val="48"/>
          <w:szCs w:val="48"/>
          <w:highlight w:val="none"/>
        </w:rPr>
      </w:pPr>
    </w:p>
    <w:p>
      <w:pPr>
        <w:spacing w:line="360" w:lineRule="auto"/>
        <w:ind w:left="2240" w:leftChars="100" w:hanging="1960" w:hangingChars="700"/>
        <w:jc w:val="left"/>
        <w:rPr>
          <w:rFonts w:ascii="仿宋" w:hAnsi="仿宋" w:eastAsia="仿宋" w:cs="仿宋"/>
          <w:highlight w:val="none"/>
        </w:rPr>
      </w:pPr>
    </w:p>
    <w:p>
      <w:pPr>
        <w:spacing w:line="360" w:lineRule="auto"/>
        <w:ind w:left="2240" w:leftChars="100" w:hanging="1960" w:hangingChars="700"/>
        <w:jc w:val="left"/>
        <w:rPr>
          <w:rFonts w:ascii="仿宋" w:hAnsi="仿宋" w:eastAsia="仿宋" w:cs="仿宋"/>
          <w:highlight w:val="none"/>
        </w:rPr>
      </w:pPr>
    </w:p>
    <w:p>
      <w:pPr>
        <w:spacing w:line="360" w:lineRule="auto"/>
        <w:ind w:left="2240" w:leftChars="100" w:hanging="1960" w:hangingChars="700"/>
        <w:jc w:val="left"/>
        <w:rPr>
          <w:rFonts w:ascii="仿宋" w:hAnsi="仿宋" w:eastAsia="仿宋" w:cs="仿宋"/>
          <w:highlight w:val="none"/>
        </w:rPr>
      </w:pP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招 标 人：</w:t>
      </w:r>
      <w:r>
        <w:rPr>
          <w:rFonts w:hint="eastAsia" w:ascii="仿宋" w:hAnsi="仿宋" w:eastAsia="仿宋" w:cs="仿宋"/>
          <w:sz w:val="32"/>
          <w:szCs w:val="32"/>
          <w:highlight w:val="none"/>
          <w:u w:val="single"/>
        </w:rPr>
        <w:t>中国石油大学(华东)</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招标代理机构：</w:t>
      </w:r>
      <w:r>
        <w:rPr>
          <w:rFonts w:hint="eastAsia" w:ascii="仿宋" w:hAnsi="仿宋" w:eastAsia="仿宋" w:cs="仿宋"/>
          <w:sz w:val="32"/>
          <w:szCs w:val="32"/>
          <w:highlight w:val="none"/>
          <w:u w:val="single"/>
        </w:rPr>
        <w:t>山东盛和招标代理有限公司</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项目编号：</w:t>
      </w:r>
      <w:r>
        <w:rPr>
          <w:rFonts w:hint="eastAsia" w:ascii="仿宋" w:hAnsi="仿宋" w:eastAsia="仿宋" w:cs="仿宋"/>
          <w:sz w:val="32"/>
          <w:szCs w:val="32"/>
          <w:highlight w:val="none"/>
          <w:u w:val="single"/>
        </w:rPr>
        <w:t xml:space="preserve">SHSDZB2022-019 </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日    期：</w:t>
      </w:r>
      <w:r>
        <w:rPr>
          <w:rFonts w:hint="eastAsia" w:ascii="仿宋" w:hAnsi="仿宋" w:eastAsia="仿宋" w:cs="仿宋"/>
          <w:sz w:val="32"/>
          <w:szCs w:val="32"/>
          <w:highlight w:val="none"/>
          <w:u w:val="single"/>
        </w:rPr>
        <w:t>2022年</w:t>
      </w:r>
      <w:r>
        <w:rPr>
          <w:rFonts w:hint="eastAsia" w:ascii="仿宋" w:hAnsi="仿宋" w:eastAsia="仿宋" w:cs="仿宋"/>
          <w:sz w:val="32"/>
          <w:szCs w:val="32"/>
          <w:highlight w:val="none"/>
          <w:u w:val="single"/>
          <w:lang w:val="en-US" w:eastAsia="zh-CN"/>
        </w:rPr>
        <w:t>10</w:t>
      </w:r>
      <w:r>
        <w:rPr>
          <w:rFonts w:hint="eastAsia" w:ascii="仿宋" w:hAnsi="仿宋" w:eastAsia="仿宋" w:cs="仿宋"/>
          <w:sz w:val="32"/>
          <w:szCs w:val="32"/>
          <w:highlight w:val="none"/>
          <w:u w:val="single"/>
        </w:rPr>
        <w:t xml:space="preserve">月 </w:t>
      </w:r>
      <w:r>
        <w:rPr>
          <w:rFonts w:ascii="仿宋" w:hAnsi="仿宋" w:eastAsia="仿宋" w:cs="仿宋"/>
          <w:sz w:val="32"/>
          <w:szCs w:val="32"/>
          <w:highlight w:val="none"/>
          <w:u w:val="single"/>
        </w:rPr>
        <w:t xml:space="preserve">    </w:t>
      </w:r>
    </w:p>
    <w:p>
      <w:pPr>
        <w:pStyle w:val="2"/>
        <w:rPr>
          <w:highlight w:val="none"/>
        </w:rPr>
      </w:pPr>
    </w:p>
    <w:p>
      <w:pPr>
        <w:rPr>
          <w:highlight w:val="none"/>
        </w:rPr>
      </w:pPr>
    </w:p>
    <w:p>
      <w:pPr>
        <w:pStyle w:val="2"/>
        <w:rPr>
          <w:highlight w:val="none"/>
        </w:rPr>
      </w:pPr>
    </w:p>
    <w:p>
      <w:pPr>
        <w:rPr>
          <w:rFonts w:ascii="仿宋" w:hAnsi="仿宋" w:eastAsia="仿宋" w:cs="仿宋"/>
          <w:sz w:val="36"/>
          <w:szCs w:val="36"/>
          <w:highlight w:val="none"/>
          <w:lang w:val="zh-CN"/>
        </w:rPr>
      </w:pPr>
      <w:r>
        <w:rPr>
          <w:rFonts w:hint="eastAsia" w:ascii="仿宋" w:hAnsi="仿宋" w:eastAsia="仿宋" w:cs="仿宋"/>
          <w:sz w:val="36"/>
          <w:szCs w:val="36"/>
          <w:highlight w:val="none"/>
          <w:lang w:val="zh-CN"/>
        </w:rPr>
        <w:br w:type="page"/>
      </w:r>
    </w:p>
    <w:p>
      <w:pPr>
        <w:jc w:val="center"/>
        <w:rPr>
          <w:rFonts w:ascii="仿宋" w:hAnsi="仿宋" w:eastAsia="仿宋" w:cs="仿宋"/>
          <w:sz w:val="36"/>
          <w:szCs w:val="36"/>
          <w:highlight w:val="none"/>
          <w:lang w:val="zh-CN"/>
        </w:rPr>
      </w:pPr>
      <w:r>
        <w:rPr>
          <w:rFonts w:hint="eastAsia" w:ascii="仿宋" w:hAnsi="仿宋" w:eastAsia="仿宋" w:cs="仿宋"/>
          <w:sz w:val="36"/>
          <w:szCs w:val="36"/>
          <w:highlight w:val="none"/>
          <w:lang w:val="zh-CN"/>
        </w:rPr>
        <w:t>目录</w:t>
      </w:r>
    </w:p>
    <w:p>
      <w:pPr>
        <w:pStyle w:val="2"/>
        <w:tabs>
          <w:tab w:val="right" w:leader="dot" w:pos="9498"/>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TOC \o "1-3" \h \z \u </w:instrText>
      </w:r>
      <w:r>
        <w:rPr>
          <w:rFonts w:hint="eastAsia" w:ascii="仿宋" w:hAnsi="仿宋" w:eastAsia="仿宋" w:cs="仿宋"/>
          <w:highlight w:val="none"/>
        </w:rPr>
        <w:fldChar w:fldCharType="separate"/>
      </w:r>
      <w:r>
        <w:rPr>
          <w:highlight w:val="none"/>
        </w:rPr>
        <w:fldChar w:fldCharType="begin"/>
      </w:r>
      <w:r>
        <w:rPr>
          <w:highlight w:val="none"/>
        </w:rPr>
        <w:instrText xml:space="preserve"> HYPERLINK \l "_Toc3469" </w:instrText>
      </w:r>
      <w:r>
        <w:rPr>
          <w:highlight w:val="none"/>
        </w:rPr>
        <w:fldChar w:fldCharType="separate"/>
      </w:r>
      <w:r>
        <w:rPr>
          <w:rFonts w:hint="eastAsia" w:ascii="仿宋" w:hAnsi="仿宋" w:eastAsia="仿宋" w:cs="仿宋"/>
          <w:szCs w:val="36"/>
          <w:highlight w:val="none"/>
        </w:rPr>
        <w:t>第一部分 投标邀请</w:t>
      </w:r>
      <w:r>
        <w:rPr>
          <w:highlight w:val="none"/>
        </w:rPr>
        <w:tab/>
      </w:r>
      <w:r>
        <w:rPr>
          <w:highlight w:val="none"/>
        </w:rPr>
        <w:fldChar w:fldCharType="begin"/>
      </w:r>
      <w:r>
        <w:rPr>
          <w:highlight w:val="none"/>
        </w:rPr>
        <w:instrText xml:space="preserve"> PAGEREF _Toc3469 \h </w:instrText>
      </w:r>
      <w:r>
        <w:rPr>
          <w:highlight w:val="none"/>
        </w:rPr>
        <w:fldChar w:fldCharType="separate"/>
      </w:r>
      <w:r>
        <w:rPr>
          <w:highlight w:val="none"/>
        </w:rPr>
        <w:t>4</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"_Toc28827" </w:instrText>
      </w:r>
      <w:r>
        <w:rPr>
          <w:highlight w:val="none"/>
        </w:rPr>
        <w:fldChar w:fldCharType="separate"/>
      </w:r>
      <w:r>
        <w:rPr>
          <w:rFonts w:hint="eastAsia" w:ascii="仿宋" w:hAnsi="仿宋" w:eastAsia="仿宋" w:cs="仿宋"/>
          <w:szCs w:val="36"/>
          <w:highlight w:val="none"/>
        </w:rPr>
        <w:t>第二部分 投标人须知</w:t>
      </w:r>
      <w:r>
        <w:rPr>
          <w:highlight w:val="none"/>
        </w:rPr>
        <w:tab/>
      </w:r>
      <w:r>
        <w:rPr>
          <w:highlight w:val="none"/>
        </w:rPr>
        <w:fldChar w:fldCharType="begin"/>
      </w:r>
      <w:r>
        <w:rPr>
          <w:highlight w:val="none"/>
        </w:rPr>
        <w:instrText xml:space="preserve"> PAGEREF _Toc28827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"_Toc31046" </w:instrText>
      </w:r>
      <w:r>
        <w:rPr>
          <w:highlight w:val="none"/>
        </w:rPr>
        <w:fldChar w:fldCharType="separate"/>
      </w:r>
      <w:r>
        <w:rPr>
          <w:rFonts w:hint="eastAsia" w:ascii="仿宋" w:hAnsi="仿宋" w:eastAsia="仿宋" w:cs="仿宋"/>
          <w:szCs w:val="30"/>
          <w:highlight w:val="none"/>
        </w:rPr>
        <w:t>一、招标说明</w:t>
      </w:r>
      <w:r>
        <w:rPr>
          <w:highlight w:val="none"/>
        </w:rPr>
        <w:tab/>
      </w:r>
      <w:r>
        <w:rPr>
          <w:highlight w:val="none"/>
        </w:rPr>
        <w:fldChar w:fldCharType="begin"/>
      </w:r>
      <w:r>
        <w:rPr>
          <w:highlight w:val="none"/>
        </w:rPr>
        <w:instrText xml:space="preserve"> PAGEREF _Toc31046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"_Toc5298" </w:instrText>
      </w:r>
      <w:r>
        <w:rPr>
          <w:highlight w:val="none"/>
        </w:rPr>
        <w:fldChar w:fldCharType="separate"/>
      </w:r>
      <w:r>
        <w:rPr>
          <w:rFonts w:hint="eastAsia" w:ascii="仿宋" w:hAnsi="仿宋" w:eastAsia="仿宋" w:cs="仿宋"/>
          <w:szCs w:val="30"/>
          <w:highlight w:val="none"/>
        </w:rPr>
        <w:t>二、定义及解释</w:t>
      </w:r>
      <w:r>
        <w:rPr>
          <w:highlight w:val="none"/>
        </w:rPr>
        <w:tab/>
      </w:r>
      <w:r>
        <w:rPr>
          <w:highlight w:val="none"/>
        </w:rPr>
        <w:fldChar w:fldCharType="begin"/>
      </w:r>
      <w:r>
        <w:rPr>
          <w:highlight w:val="none"/>
        </w:rPr>
        <w:instrText xml:space="preserve"> PAGEREF _Toc5298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"_Toc341" </w:instrText>
      </w:r>
      <w:r>
        <w:rPr>
          <w:highlight w:val="none"/>
        </w:rPr>
        <w:fldChar w:fldCharType="separate"/>
      </w:r>
      <w:r>
        <w:rPr>
          <w:rFonts w:hint="eastAsia" w:ascii="仿宋" w:hAnsi="仿宋" w:eastAsia="仿宋" w:cs="仿宋"/>
          <w:szCs w:val="30"/>
          <w:highlight w:val="none"/>
        </w:rPr>
        <w:t>三、合格投标人</w:t>
      </w:r>
      <w:r>
        <w:rPr>
          <w:highlight w:val="none"/>
        </w:rPr>
        <w:tab/>
      </w:r>
      <w:r>
        <w:rPr>
          <w:highlight w:val="none"/>
        </w:rPr>
        <w:fldChar w:fldCharType="begin"/>
      </w:r>
      <w:r>
        <w:rPr>
          <w:highlight w:val="none"/>
        </w:rPr>
        <w:instrText xml:space="preserve"> PAGEREF _Toc341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"_Toc8489" </w:instrText>
      </w:r>
      <w:r>
        <w:rPr>
          <w:highlight w:val="none"/>
        </w:rPr>
        <w:fldChar w:fldCharType="separate"/>
      </w:r>
      <w:r>
        <w:rPr>
          <w:rFonts w:hint="eastAsia" w:ascii="仿宋" w:hAnsi="仿宋" w:eastAsia="仿宋" w:cs="仿宋"/>
          <w:szCs w:val="30"/>
          <w:highlight w:val="none"/>
        </w:rPr>
        <w:t>四、招标文件的澄清或修改</w:t>
      </w:r>
      <w:r>
        <w:rPr>
          <w:highlight w:val="none"/>
        </w:rPr>
        <w:tab/>
      </w:r>
      <w:r>
        <w:rPr>
          <w:highlight w:val="none"/>
        </w:rPr>
        <w:fldChar w:fldCharType="begin"/>
      </w:r>
      <w:r>
        <w:rPr>
          <w:highlight w:val="none"/>
        </w:rPr>
        <w:instrText xml:space="preserve"> PAGEREF _Toc8489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"_Toc26915" </w:instrText>
      </w:r>
      <w:r>
        <w:rPr>
          <w:highlight w:val="none"/>
        </w:rPr>
        <w:fldChar w:fldCharType="separate"/>
      </w:r>
      <w:r>
        <w:rPr>
          <w:rFonts w:hint="eastAsia" w:ascii="仿宋" w:hAnsi="仿宋" w:eastAsia="仿宋" w:cs="仿宋"/>
          <w:szCs w:val="30"/>
          <w:highlight w:val="none"/>
        </w:rPr>
        <w:t>五、投标文件的编制与提交</w:t>
      </w:r>
      <w:r>
        <w:rPr>
          <w:highlight w:val="none"/>
        </w:rPr>
        <w:tab/>
      </w:r>
      <w:r>
        <w:rPr>
          <w:highlight w:val="none"/>
        </w:rPr>
        <w:fldChar w:fldCharType="begin"/>
      </w:r>
      <w:r>
        <w:rPr>
          <w:highlight w:val="none"/>
        </w:rPr>
        <w:instrText xml:space="preserve"> PAGEREF _Toc26915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"_Toc20678" </w:instrText>
      </w:r>
      <w:r>
        <w:rPr>
          <w:highlight w:val="none"/>
        </w:rPr>
        <w:fldChar w:fldCharType="separate"/>
      </w:r>
      <w:r>
        <w:rPr>
          <w:rFonts w:hint="eastAsia" w:ascii="仿宋" w:hAnsi="仿宋" w:eastAsia="仿宋" w:cs="仿宋"/>
          <w:szCs w:val="30"/>
          <w:highlight w:val="none"/>
        </w:rPr>
        <w:t>六、投标有效期</w:t>
      </w:r>
      <w:r>
        <w:rPr>
          <w:highlight w:val="none"/>
        </w:rPr>
        <w:tab/>
      </w:r>
      <w:r>
        <w:rPr>
          <w:highlight w:val="none"/>
        </w:rPr>
        <w:fldChar w:fldCharType="begin"/>
      </w:r>
      <w:r>
        <w:rPr>
          <w:highlight w:val="none"/>
        </w:rPr>
        <w:instrText xml:space="preserve"> PAGEREF _Toc20678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"_Toc31064" </w:instrText>
      </w:r>
      <w:r>
        <w:rPr>
          <w:highlight w:val="none"/>
        </w:rPr>
        <w:fldChar w:fldCharType="separate"/>
      </w:r>
      <w:r>
        <w:rPr>
          <w:rFonts w:hint="eastAsia" w:ascii="仿宋" w:hAnsi="仿宋" w:eastAsia="仿宋" w:cs="仿宋"/>
          <w:szCs w:val="30"/>
          <w:highlight w:val="none"/>
        </w:rPr>
        <w:t>七、投标费用</w:t>
      </w:r>
      <w:r>
        <w:rPr>
          <w:highlight w:val="none"/>
        </w:rPr>
        <w:tab/>
      </w:r>
      <w:r>
        <w:rPr>
          <w:highlight w:val="none"/>
        </w:rPr>
        <w:fldChar w:fldCharType="begin"/>
      </w:r>
      <w:r>
        <w:rPr>
          <w:highlight w:val="none"/>
        </w:rPr>
        <w:instrText xml:space="preserve"> PAGEREF _Toc31064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"_Toc18083" </w:instrText>
      </w:r>
      <w:r>
        <w:rPr>
          <w:highlight w:val="none"/>
        </w:rPr>
        <w:fldChar w:fldCharType="separate"/>
      </w:r>
      <w:r>
        <w:rPr>
          <w:rFonts w:hint="eastAsia" w:ascii="仿宋" w:hAnsi="仿宋" w:eastAsia="仿宋" w:cs="仿宋"/>
          <w:szCs w:val="30"/>
          <w:highlight w:val="none"/>
        </w:rPr>
        <w:t>八、投标保证金</w:t>
      </w:r>
      <w:r>
        <w:rPr>
          <w:highlight w:val="none"/>
        </w:rPr>
        <w:tab/>
      </w:r>
      <w:r>
        <w:rPr>
          <w:highlight w:val="none"/>
        </w:rPr>
        <w:fldChar w:fldCharType="begin"/>
      </w:r>
      <w:r>
        <w:rPr>
          <w:highlight w:val="none"/>
        </w:rPr>
        <w:instrText xml:space="preserve"> PAGEREF _Toc18083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"_Toc6512" </w:instrText>
      </w:r>
      <w:r>
        <w:rPr>
          <w:highlight w:val="none"/>
        </w:rPr>
        <w:fldChar w:fldCharType="separate"/>
      </w:r>
      <w:r>
        <w:rPr>
          <w:rFonts w:hint="eastAsia" w:ascii="仿宋" w:hAnsi="仿宋" w:eastAsia="仿宋" w:cs="仿宋"/>
          <w:szCs w:val="30"/>
          <w:highlight w:val="none"/>
        </w:rPr>
        <w:t>九、投标无效</w:t>
      </w:r>
      <w:r>
        <w:rPr>
          <w:highlight w:val="none"/>
        </w:rPr>
        <w:tab/>
      </w:r>
      <w:r>
        <w:rPr>
          <w:highlight w:val="none"/>
        </w:rPr>
        <w:fldChar w:fldCharType="begin"/>
      </w:r>
      <w:r>
        <w:rPr>
          <w:highlight w:val="none"/>
        </w:rPr>
        <w:instrText xml:space="preserve"> PAGEREF _Toc6512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"_Toc491" </w:instrText>
      </w:r>
      <w:r>
        <w:rPr>
          <w:highlight w:val="none"/>
        </w:rPr>
        <w:fldChar w:fldCharType="separate"/>
      </w:r>
      <w:r>
        <w:rPr>
          <w:rFonts w:hint="eastAsia" w:ascii="仿宋" w:hAnsi="仿宋" w:eastAsia="仿宋" w:cs="仿宋"/>
          <w:szCs w:val="30"/>
          <w:highlight w:val="none"/>
        </w:rPr>
        <w:t>十、招标文件的解释权</w:t>
      </w:r>
      <w:r>
        <w:rPr>
          <w:highlight w:val="none"/>
        </w:rPr>
        <w:tab/>
      </w:r>
      <w:r>
        <w:rPr>
          <w:highlight w:val="none"/>
        </w:rPr>
        <w:fldChar w:fldCharType="begin"/>
      </w:r>
      <w:r>
        <w:rPr>
          <w:highlight w:val="none"/>
        </w:rPr>
        <w:instrText xml:space="preserve"> PAGEREF _Toc491 \h </w:instrText>
      </w:r>
      <w:r>
        <w:rPr>
          <w:highlight w:val="none"/>
        </w:rPr>
        <w:fldChar w:fldCharType="separate"/>
      </w:r>
      <w:r>
        <w:rPr>
          <w:highlight w:val="none"/>
        </w:rPr>
        <w:t>11</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"_Toc13061" </w:instrText>
      </w:r>
      <w:r>
        <w:rPr>
          <w:highlight w:val="none"/>
        </w:rPr>
        <w:fldChar w:fldCharType="separate"/>
      </w:r>
      <w:r>
        <w:rPr>
          <w:rFonts w:hint="eastAsia" w:ascii="仿宋" w:hAnsi="仿宋" w:eastAsia="仿宋" w:cs="仿宋"/>
          <w:szCs w:val="36"/>
          <w:highlight w:val="none"/>
        </w:rPr>
        <w:t>第三部分 开标、评标、定标</w:t>
      </w:r>
      <w:r>
        <w:rPr>
          <w:highlight w:val="none"/>
        </w:rPr>
        <w:tab/>
      </w:r>
      <w:r>
        <w:rPr>
          <w:highlight w:val="none"/>
        </w:rPr>
        <w:fldChar w:fldCharType="begin"/>
      </w:r>
      <w:r>
        <w:rPr>
          <w:highlight w:val="none"/>
        </w:rPr>
        <w:instrText xml:space="preserve"> PAGEREF _Toc13061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"_Toc30853" </w:instrText>
      </w:r>
      <w:r>
        <w:rPr>
          <w:highlight w:val="none"/>
        </w:rPr>
        <w:fldChar w:fldCharType="separate"/>
      </w:r>
      <w:r>
        <w:rPr>
          <w:rFonts w:hint="eastAsia" w:ascii="仿宋" w:hAnsi="仿宋" w:eastAsia="仿宋" w:cs="仿宋"/>
          <w:szCs w:val="30"/>
          <w:highlight w:val="none"/>
        </w:rPr>
        <w:t>一、开标</w:t>
      </w:r>
      <w:r>
        <w:rPr>
          <w:highlight w:val="none"/>
        </w:rPr>
        <w:tab/>
      </w:r>
      <w:r>
        <w:rPr>
          <w:highlight w:val="none"/>
        </w:rPr>
        <w:fldChar w:fldCharType="begin"/>
      </w:r>
      <w:r>
        <w:rPr>
          <w:highlight w:val="none"/>
        </w:rPr>
        <w:instrText xml:space="preserve"> PAGEREF _Toc30853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"_Toc5196" </w:instrText>
      </w:r>
      <w:r>
        <w:rPr>
          <w:highlight w:val="none"/>
        </w:rPr>
        <w:fldChar w:fldCharType="separate"/>
      </w:r>
      <w:r>
        <w:rPr>
          <w:rFonts w:hint="eastAsia" w:ascii="仿宋" w:hAnsi="仿宋" w:eastAsia="仿宋" w:cs="仿宋"/>
          <w:szCs w:val="30"/>
          <w:highlight w:val="none"/>
        </w:rPr>
        <w:t>二、评审委员会</w:t>
      </w:r>
      <w:r>
        <w:rPr>
          <w:highlight w:val="none"/>
        </w:rPr>
        <w:tab/>
      </w:r>
      <w:r>
        <w:rPr>
          <w:highlight w:val="none"/>
        </w:rPr>
        <w:fldChar w:fldCharType="begin"/>
      </w:r>
      <w:r>
        <w:rPr>
          <w:highlight w:val="none"/>
        </w:rPr>
        <w:instrText xml:space="preserve"> PAGEREF _Toc5196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"_Toc22547" </w:instrText>
      </w:r>
      <w:r>
        <w:rPr>
          <w:highlight w:val="none"/>
        </w:rPr>
        <w:fldChar w:fldCharType="separate"/>
      </w:r>
      <w:r>
        <w:rPr>
          <w:rFonts w:hint="eastAsia" w:ascii="仿宋" w:hAnsi="仿宋" w:eastAsia="仿宋" w:cs="仿宋"/>
          <w:szCs w:val="30"/>
          <w:highlight w:val="none"/>
        </w:rPr>
        <w:t>三、评标原则和评标方法</w:t>
      </w:r>
      <w:bookmarkStart w:id="126" w:name="_GoBack"/>
      <w:bookmarkEnd w:id="126"/>
      <w:r>
        <w:rPr>
          <w:highlight w:val="none"/>
        </w:rPr>
        <w:tab/>
      </w:r>
      <w:r>
        <w:rPr>
          <w:highlight w:val="none"/>
        </w:rPr>
        <w:fldChar w:fldCharType="begin"/>
      </w:r>
      <w:r>
        <w:rPr>
          <w:highlight w:val="none"/>
        </w:rPr>
        <w:instrText xml:space="preserve"> PAGEREF _Toc22547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"_Toc29592" </w:instrText>
      </w:r>
      <w:r>
        <w:rPr>
          <w:highlight w:val="none"/>
        </w:rPr>
        <w:fldChar w:fldCharType="separate"/>
      </w:r>
      <w:r>
        <w:rPr>
          <w:rFonts w:hint="eastAsia" w:ascii="仿宋" w:hAnsi="仿宋" w:eastAsia="仿宋" w:cs="仿宋"/>
          <w:szCs w:val="30"/>
          <w:highlight w:val="none"/>
        </w:rPr>
        <w:t>四、评审办法</w:t>
      </w:r>
      <w:r>
        <w:rPr>
          <w:highlight w:val="none"/>
        </w:rPr>
        <w:tab/>
      </w:r>
      <w:r>
        <w:rPr>
          <w:highlight w:val="none"/>
        </w:rPr>
        <w:fldChar w:fldCharType="begin"/>
      </w:r>
      <w:r>
        <w:rPr>
          <w:highlight w:val="none"/>
        </w:rPr>
        <w:instrText xml:space="preserve"> PAGEREF _Toc29592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"_Toc10224" </w:instrText>
      </w:r>
      <w:r>
        <w:rPr>
          <w:highlight w:val="none"/>
        </w:rPr>
        <w:fldChar w:fldCharType="separate"/>
      </w:r>
      <w:r>
        <w:rPr>
          <w:rFonts w:hint="eastAsia" w:ascii="仿宋" w:hAnsi="仿宋" w:eastAsia="仿宋" w:cs="仿宋"/>
          <w:szCs w:val="30"/>
          <w:highlight w:val="none"/>
        </w:rPr>
        <w:t>五、废标</w:t>
      </w:r>
      <w:r>
        <w:rPr>
          <w:highlight w:val="none"/>
        </w:rPr>
        <w:tab/>
      </w:r>
      <w:r>
        <w:rPr>
          <w:highlight w:val="none"/>
        </w:rPr>
        <w:fldChar w:fldCharType="begin"/>
      </w:r>
      <w:r>
        <w:rPr>
          <w:highlight w:val="none"/>
        </w:rPr>
        <w:instrText xml:space="preserve"> PAGEREF _Toc10224 \h </w:instrText>
      </w:r>
      <w:r>
        <w:rPr>
          <w:highlight w:val="none"/>
        </w:rPr>
        <w:fldChar w:fldCharType="separate"/>
      </w:r>
      <w:r>
        <w:rPr>
          <w:highlight w:val="none"/>
        </w:rPr>
        <w:t>14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"_Toc994" </w:instrText>
      </w:r>
      <w:r>
        <w:rPr>
          <w:highlight w:val="none"/>
        </w:rPr>
        <w:fldChar w:fldCharType="separate"/>
      </w:r>
      <w:r>
        <w:rPr>
          <w:rFonts w:hint="eastAsia" w:ascii="仿宋" w:hAnsi="仿宋" w:eastAsia="仿宋" w:cs="仿宋"/>
          <w:szCs w:val="30"/>
          <w:highlight w:val="none"/>
        </w:rPr>
        <w:t>六、中标通知书</w:t>
      </w:r>
      <w:r>
        <w:rPr>
          <w:highlight w:val="none"/>
        </w:rPr>
        <w:tab/>
      </w:r>
      <w:r>
        <w:rPr>
          <w:highlight w:val="none"/>
        </w:rPr>
        <w:fldChar w:fldCharType="begin"/>
      </w:r>
      <w:r>
        <w:rPr>
          <w:highlight w:val="none"/>
        </w:rPr>
        <w:instrText xml:space="preserve"> PAGEREF _Toc994 \h </w:instrText>
      </w:r>
      <w:r>
        <w:rPr>
          <w:highlight w:val="none"/>
        </w:rPr>
        <w:fldChar w:fldCharType="separate"/>
      </w:r>
      <w:r>
        <w:rPr>
          <w:highlight w:val="none"/>
        </w:rPr>
        <w:t>14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"_Toc7184" </w:instrText>
      </w:r>
      <w:r>
        <w:rPr>
          <w:highlight w:val="none"/>
        </w:rPr>
        <w:fldChar w:fldCharType="separate"/>
      </w:r>
      <w:r>
        <w:rPr>
          <w:rFonts w:hint="eastAsia" w:ascii="仿宋" w:hAnsi="仿宋" w:eastAsia="仿宋" w:cs="仿宋"/>
          <w:szCs w:val="30"/>
          <w:highlight w:val="none"/>
        </w:rPr>
        <w:t>七、合同授予</w:t>
      </w:r>
      <w:r>
        <w:rPr>
          <w:highlight w:val="none"/>
        </w:rPr>
        <w:tab/>
      </w:r>
      <w:r>
        <w:rPr>
          <w:highlight w:val="none"/>
        </w:rPr>
        <w:fldChar w:fldCharType="begin"/>
      </w:r>
      <w:r>
        <w:rPr>
          <w:highlight w:val="none"/>
        </w:rPr>
        <w:instrText xml:space="preserve"> PAGEREF _Toc7184 \h </w:instrText>
      </w:r>
      <w:r>
        <w:rPr>
          <w:highlight w:val="none"/>
        </w:rPr>
        <w:fldChar w:fldCharType="separate"/>
      </w:r>
      <w:r>
        <w:rPr>
          <w:highlight w:val="none"/>
        </w:rPr>
        <w:t>14</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"_Toc19110" </w:instrText>
      </w:r>
      <w:r>
        <w:rPr>
          <w:highlight w:val="none"/>
        </w:rPr>
        <w:fldChar w:fldCharType="separate"/>
      </w:r>
      <w:r>
        <w:rPr>
          <w:rFonts w:hint="eastAsia" w:ascii="仿宋" w:hAnsi="仿宋" w:eastAsia="仿宋" w:cs="仿宋"/>
          <w:szCs w:val="36"/>
          <w:highlight w:val="none"/>
        </w:rPr>
        <w:t>第四部分  合同格式</w:t>
      </w:r>
      <w:r>
        <w:rPr>
          <w:highlight w:val="none"/>
        </w:rPr>
        <w:tab/>
      </w:r>
      <w:r>
        <w:rPr>
          <w:highlight w:val="none"/>
        </w:rPr>
        <w:fldChar w:fldCharType="begin"/>
      </w:r>
      <w:r>
        <w:rPr>
          <w:highlight w:val="none"/>
        </w:rPr>
        <w:instrText xml:space="preserve"> PAGEREF _Toc19110 \h </w:instrText>
      </w:r>
      <w:r>
        <w:rPr>
          <w:highlight w:val="none"/>
        </w:rPr>
        <w:fldChar w:fldCharType="separate"/>
      </w:r>
      <w:r>
        <w:rPr>
          <w:highlight w:val="none"/>
        </w:rPr>
        <w:t>15</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"_Toc10225" </w:instrText>
      </w:r>
      <w:r>
        <w:rPr>
          <w:highlight w:val="none"/>
        </w:rPr>
        <w:fldChar w:fldCharType="separate"/>
      </w:r>
      <w:r>
        <w:rPr>
          <w:rFonts w:hint="eastAsia" w:ascii="仿宋" w:hAnsi="仿宋" w:eastAsia="仿宋" w:cs="仿宋"/>
          <w:szCs w:val="36"/>
          <w:highlight w:val="none"/>
        </w:rPr>
        <w:t>第五部分 用户需求书</w:t>
      </w:r>
      <w:r>
        <w:rPr>
          <w:highlight w:val="none"/>
        </w:rPr>
        <w:tab/>
      </w:r>
      <w:r>
        <w:rPr>
          <w:highlight w:val="none"/>
        </w:rPr>
        <w:fldChar w:fldCharType="begin"/>
      </w:r>
      <w:r>
        <w:rPr>
          <w:highlight w:val="none"/>
        </w:rPr>
        <w:instrText xml:space="preserve"> PAGEREF _Toc10225 \h </w:instrText>
      </w:r>
      <w:r>
        <w:rPr>
          <w:highlight w:val="none"/>
        </w:rPr>
        <w:fldChar w:fldCharType="separate"/>
      </w:r>
      <w:r>
        <w:rPr>
          <w:highlight w:val="none"/>
        </w:rPr>
        <w:t>17</w:t>
      </w:r>
      <w:r>
        <w:rPr>
          <w:highlight w:val="none"/>
        </w:rPr>
        <w:fldChar w:fldCharType="end"/>
      </w:r>
      <w:r>
        <w:rPr>
          <w:highlight w:val="none"/>
        </w:rPr>
        <w:fldChar w:fldCharType="end"/>
      </w:r>
    </w:p>
    <w:p>
      <w:pPr>
        <w:pStyle w:val="30"/>
        <w:tabs>
          <w:tab w:val="right" w:leader="dot" w:pos="9498"/>
        </w:tabs>
        <w:ind w:left="0" w:leftChars="0" w:firstLine="280" w:firstLineChars="100"/>
        <w:rPr>
          <w:highlight w:val="none"/>
        </w:rPr>
      </w:pPr>
      <w:r>
        <w:rPr>
          <w:highlight w:val="none"/>
        </w:rPr>
        <w:fldChar w:fldCharType="begin"/>
      </w:r>
      <w:r>
        <w:rPr>
          <w:highlight w:val="none"/>
        </w:rPr>
        <w:instrText xml:space="preserve"> HYPERLINK \l "_Toc10648" </w:instrText>
      </w:r>
      <w:r>
        <w:rPr>
          <w:highlight w:val="none"/>
        </w:rPr>
        <w:fldChar w:fldCharType="separate"/>
      </w:r>
      <w:r>
        <w:rPr>
          <w:rFonts w:hint="eastAsia" w:ascii="仿宋" w:hAnsi="仿宋" w:eastAsia="仿宋" w:cs="仿宋"/>
          <w:highlight w:val="none"/>
        </w:rPr>
        <w:t>一、</w:t>
      </w:r>
      <w:r>
        <w:rPr>
          <w:rFonts w:hint="eastAsia" w:ascii="仿宋" w:hAnsi="仿宋" w:eastAsia="仿宋" w:cs="仿宋"/>
          <w:szCs w:val="24"/>
          <w:highlight w:val="none"/>
        </w:rPr>
        <w:t>招标产品技术规格、要求和数量（包括附件、图纸等）</w:t>
      </w:r>
      <w:r>
        <w:rPr>
          <w:highlight w:val="none"/>
        </w:rPr>
        <w:tab/>
      </w:r>
      <w:r>
        <w:rPr>
          <w:highlight w:val="none"/>
        </w:rPr>
        <w:fldChar w:fldCharType="begin"/>
      </w:r>
      <w:r>
        <w:rPr>
          <w:highlight w:val="none"/>
        </w:rPr>
        <w:instrText xml:space="preserve"> PAGEREF _Toc10648 \h </w:instrText>
      </w:r>
      <w:r>
        <w:rPr>
          <w:highlight w:val="none"/>
        </w:rPr>
        <w:fldChar w:fldCharType="separate"/>
      </w:r>
      <w:r>
        <w:rPr>
          <w:highlight w:val="none"/>
        </w:rPr>
        <w:t>17</w:t>
      </w:r>
      <w:r>
        <w:rPr>
          <w:highlight w:val="none"/>
        </w:rPr>
        <w:fldChar w:fldCharType="end"/>
      </w:r>
      <w:r>
        <w:rPr>
          <w:highlight w:val="none"/>
        </w:rPr>
        <w:fldChar w:fldCharType="end"/>
      </w:r>
    </w:p>
    <w:p>
      <w:pPr>
        <w:pStyle w:val="30"/>
        <w:tabs>
          <w:tab w:val="right" w:leader="dot" w:pos="9498"/>
        </w:tabs>
        <w:ind w:left="0" w:leftChars="0" w:firstLine="280" w:firstLineChars="100"/>
        <w:rPr>
          <w:highlight w:val="none"/>
        </w:rPr>
      </w:pPr>
      <w:r>
        <w:rPr>
          <w:highlight w:val="none"/>
        </w:rPr>
        <w:fldChar w:fldCharType="begin"/>
      </w:r>
      <w:r>
        <w:rPr>
          <w:highlight w:val="none"/>
        </w:rPr>
        <w:instrText xml:space="preserve"> HYPERLINK \l "_Toc6652" </w:instrText>
      </w:r>
      <w:r>
        <w:rPr>
          <w:highlight w:val="none"/>
        </w:rPr>
        <w:fldChar w:fldCharType="separate"/>
      </w:r>
      <w:r>
        <w:rPr>
          <w:rFonts w:hint="eastAsia" w:ascii="仿宋" w:hAnsi="仿宋" w:eastAsia="仿宋" w:cs="仿宋"/>
          <w:szCs w:val="24"/>
          <w:highlight w:val="none"/>
        </w:rPr>
        <w:t>二.商务条件</w:t>
      </w:r>
      <w:r>
        <w:rPr>
          <w:highlight w:val="none"/>
        </w:rPr>
        <w:tab/>
      </w:r>
      <w:r>
        <w:rPr>
          <w:highlight w:val="none"/>
        </w:rPr>
        <w:fldChar w:fldCharType="begin"/>
      </w:r>
      <w:r>
        <w:rPr>
          <w:highlight w:val="none"/>
        </w:rPr>
        <w:instrText xml:space="preserve"> PAGEREF _Toc6652 \h </w:instrText>
      </w:r>
      <w:r>
        <w:rPr>
          <w:highlight w:val="none"/>
        </w:rPr>
        <w:fldChar w:fldCharType="separate"/>
      </w:r>
      <w:r>
        <w:rPr>
          <w:highlight w:val="none"/>
        </w:rPr>
        <w:t>31</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"_Toc25334" </w:instrText>
      </w:r>
      <w:r>
        <w:rPr>
          <w:highlight w:val="none"/>
        </w:rPr>
        <w:fldChar w:fldCharType="separate"/>
      </w:r>
      <w:r>
        <w:rPr>
          <w:rFonts w:hint="eastAsia" w:ascii="仿宋" w:hAnsi="仿宋" w:eastAsia="仿宋" w:cs="仿宋"/>
          <w:highlight w:val="none"/>
        </w:rPr>
        <w:t>第六部分 附件</w:t>
      </w:r>
      <w:r>
        <w:rPr>
          <w:highlight w:val="none"/>
        </w:rPr>
        <w:tab/>
      </w:r>
      <w:r>
        <w:rPr>
          <w:highlight w:val="none"/>
        </w:rPr>
        <w:fldChar w:fldCharType="begin"/>
      </w:r>
      <w:r>
        <w:rPr>
          <w:highlight w:val="none"/>
        </w:rPr>
        <w:instrText xml:space="preserve"> PAGEREF _Toc25334 \h </w:instrText>
      </w:r>
      <w:r>
        <w:rPr>
          <w:highlight w:val="none"/>
        </w:rPr>
        <w:fldChar w:fldCharType="separate"/>
      </w:r>
      <w:r>
        <w:rPr>
          <w:highlight w:val="none"/>
        </w:rPr>
        <w:t>32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"_Toc2822" </w:instrText>
      </w:r>
      <w:r>
        <w:rPr>
          <w:highlight w:val="none"/>
        </w:rPr>
        <w:fldChar w:fldCharType="separate"/>
      </w:r>
      <w:r>
        <w:rPr>
          <w:rFonts w:hint="eastAsia" w:ascii="仿宋" w:hAnsi="仿宋" w:eastAsia="仿宋" w:cs="仿宋"/>
          <w:highlight w:val="none"/>
        </w:rPr>
        <w:t>附件1：封面格式</w:t>
      </w:r>
      <w:r>
        <w:rPr>
          <w:highlight w:val="none"/>
        </w:rPr>
        <w:tab/>
      </w:r>
      <w:r>
        <w:rPr>
          <w:highlight w:val="none"/>
        </w:rPr>
        <w:fldChar w:fldCharType="begin"/>
      </w:r>
      <w:r>
        <w:rPr>
          <w:highlight w:val="none"/>
        </w:rPr>
        <w:instrText xml:space="preserve"> PAGEREF _Toc2822 \h </w:instrText>
      </w:r>
      <w:r>
        <w:rPr>
          <w:highlight w:val="none"/>
        </w:rPr>
        <w:fldChar w:fldCharType="separate"/>
      </w:r>
      <w:r>
        <w:rPr>
          <w:highlight w:val="none"/>
        </w:rPr>
        <w:t>33</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"_Toc21897" </w:instrText>
      </w:r>
      <w:r>
        <w:rPr>
          <w:highlight w:val="none"/>
        </w:rPr>
        <w:fldChar w:fldCharType="separate"/>
      </w:r>
      <w:r>
        <w:rPr>
          <w:rFonts w:hint="eastAsia" w:ascii="仿宋" w:hAnsi="仿宋" w:eastAsia="仿宋" w:cs="仿宋"/>
          <w:highlight w:val="none"/>
        </w:rPr>
        <w:t>附件2：投标函</w:t>
      </w:r>
      <w:r>
        <w:rPr>
          <w:highlight w:val="none"/>
        </w:rPr>
        <w:tab/>
      </w:r>
      <w:r>
        <w:rPr>
          <w:highlight w:val="none"/>
        </w:rPr>
        <w:fldChar w:fldCharType="begin"/>
      </w:r>
      <w:r>
        <w:rPr>
          <w:highlight w:val="none"/>
        </w:rPr>
        <w:instrText xml:space="preserve"> PAGEREF _Toc21897 \h </w:instrText>
      </w:r>
      <w:r>
        <w:rPr>
          <w:highlight w:val="none"/>
        </w:rPr>
        <w:fldChar w:fldCharType="separate"/>
      </w:r>
      <w:r>
        <w:rPr>
          <w:highlight w:val="none"/>
        </w:rPr>
        <w:t>34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"_Toc2776" </w:instrText>
      </w:r>
      <w:r>
        <w:rPr>
          <w:highlight w:val="none"/>
        </w:rPr>
        <w:fldChar w:fldCharType="separate"/>
      </w:r>
      <w:r>
        <w:rPr>
          <w:rFonts w:hint="eastAsia" w:ascii="仿宋" w:hAnsi="仿宋" w:eastAsia="仿宋" w:cs="仿宋"/>
          <w:highlight w:val="none"/>
        </w:rPr>
        <w:t>附件3：法定代表人身份证明</w:t>
      </w:r>
      <w:r>
        <w:rPr>
          <w:highlight w:val="none"/>
        </w:rPr>
        <w:tab/>
      </w:r>
      <w:r>
        <w:rPr>
          <w:highlight w:val="none"/>
        </w:rPr>
        <w:fldChar w:fldCharType="begin"/>
      </w:r>
      <w:r>
        <w:rPr>
          <w:highlight w:val="none"/>
        </w:rPr>
        <w:instrText xml:space="preserve"> PAGEREF _Toc2776 \h </w:instrText>
      </w:r>
      <w:r>
        <w:rPr>
          <w:highlight w:val="none"/>
        </w:rPr>
        <w:fldChar w:fldCharType="separate"/>
      </w:r>
      <w:r>
        <w:rPr>
          <w:highlight w:val="none"/>
        </w:rPr>
        <w:t>35</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"_Toc21907" </w:instrText>
      </w:r>
      <w:r>
        <w:rPr>
          <w:highlight w:val="none"/>
        </w:rPr>
        <w:fldChar w:fldCharType="separate"/>
      </w:r>
      <w:r>
        <w:rPr>
          <w:rFonts w:hint="eastAsia" w:ascii="仿宋" w:hAnsi="仿宋" w:eastAsia="仿宋" w:cs="仿宋"/>
          <w:highlight w:val="none"/>
        </w:rPr>
        <w:t>附件4：法定代表人授权委托书</w:t>
      </w:r>
      <w:r>
        <w:rPr>
          <w:highlight w:val="none"/>
        </w:rPr>
        <w:tab/>
      </w:r>
      <w:r>
        <w:rPr>
          <w:highlight w:val="none"/>
        </w:rPr>
        <w:fldChar w:fldCharType="begin"/>
      </w:r>
      <w:r>
        <w:rPr>
          <w:highlight w:val="none"/>
        </w:rPr>
        <w:instrText xml:space="preserve"> PAGEREF _Toc21907 \h </w:instrText>
      </w:r>
      <w:r>
        <w:rPr>
          <w:highlight w:val="none"/>
        </w:rPr>
        <w:fldChar w:fldCharType="separate"/>
      </w:r>
      <w:r>
        <w:rPr>
          <w:highlight w:val="none"/>
        </w:rPr>
        <w:t>36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"_Toc31198" </w:instrText>
      </w:r>
      <w:r>
        <w:rPr>
          <w:highlight w:val="none"/>
        </w:rPr>
        <w:fldChar w:fldCharType="separate"/>
      </w:r>
      <w:r>
        <w:rPr>
          <w:rFonts w:hint="eastAsia" w:ascii="仿宋" w:hAnsi="仿宋" w:eastAsia="仿宋" w:cs="仿宋"/>
          <w:highlight w:val="none"/>
        </w:rPr>
        <w:t>附件5：报价一览表</w:t>
      </w:r>
      <w:r>
        <w:rPr>
          <w:highlight w:val="none"/>
        </w:rPr>
        <w:tab/>
      </w:r>
      <w:r>
        <w:rPr>
          <w:highlight w:val="none"/>
        </w:rPr>
        <w:fldChar w:fldCharType="begin"/>
      </w:r>
      <w:r>
        <w:rPr>
          <w:highlight w:val="none"/>
        </w:rPr>
        <w:instrText xml:space="preserve"> PAGEREF _Toc31198 \h </w:instrText>
      </w:r>
      <w:r>
        <w:rPr>
          <w:highlight w:val="none"/>
        </w:rPr>
        <w:fldChar w:fldCharType="separate"/>
      </w:r>
      <w:r>
        <w:rPr>
          <w:highlight w:val="none"/>
        </w:rPr>
        <w:t>37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"_Toc29238" </w:instrText>
      </w:r>
      <w:r>
        <w:rPr>
          <w:highlight w:val="none"/>
        </w:rPr>
        <w:fldChar w:fldCharType="separate"/>
      </w:r>
      <w:r>
        <w:rPr>
          <w:rFonts w:hint="eastAsia" w:ascii="仿宋" w:hAnsi="仿宋" w:eastAsia="仿宋" w:cs="仿宋"/>
          <w:highlight w:val="none"/>
        </w:rPr>
        <w:t>附件6：报价明细表</w:t>
      </w:r>
      <w:r>
        <w:rPr>
          <w:highlight w:val="none"/>
        </w:rPr>
        <w:tab/>
      </w:r>
      <w:r>
        <w:rPr>
          <w:highlight w:val="none"/>
        </w:rPr>
        <w:fldChar w:fldCharType="begin"/>
      </w:r>
      <w:r>
        <w:rPr>
          <w:highlight w:val="none"/>
        </w:rPr>
        <w:instrText xml:space="preserve"> PAGEREF _Toc29238 \h </w:instrText>
      </w:r>
      <w:r>
        <w:rPr>
          <w:highlight w:val="none"/>
        </w:rPr>
        <w:fldChar w:fldCharType="separate"/>
      </w:r>
      <w:r>
        <w:rPr>
          <w:highlight w:val="none"/>
        </w:rPr>
        <w:t>38</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"_Toc16755" </w:instrText>
      </w:r>
      <w:r>
        <w:rPr>
          <w:highlight w:val="none"/>
        </w:rPr>
        <w:fldChar w:fldCharType="separate"/>
      </w:r>
      <w:r>
        <w:rPr>
          <w:rFonts w:hint="eastAsia" w:ascii="仿宋" w:hAnsi="仿宋" w:eastAsia="仿宋" w:cs="仿宋"/>
          <w:highlight w:val="none"/>
        </w:rPr>
        <w:t>附件7：备品备件报价表</w:t>
      </w:r>
      <w:r>
        <w:rPr>
          <w:highlight w:val="none"/>
        </w:rPr>
        <w:tab/>
      </w:r>
      <w:r>
        <w:rPr>
          <w:highlight w:val="none"/>
        </w:rPr>
        <w:fldChar w:fldCharType="begin"/>
      </w:r>
      <w:r>
        <w:rPr>
          <w:highlight w:val="none"/>
        </w:rPr>
        <w:instrText xml:space="preserve"> PAGEREF _Toc16755 \h </w:instrText>
      </w:r>
      <w:r>
        <w:rPr>
          <w:highlight w:val="none"/>
        </w:rPr>
        <w:fldChar w:fldCharType="separate"/>
      </w:r>
      <w:r>
        <w:rPr>
          <w:highlight w:val="none"/>
        </w:rPr>
        <w:t>39</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"_Toc13087" </w:instrText>
      </w:r>
      <w:r>
        <w:rPr>
          <w:highlight w:val="none"/>
        </w:rPr>
        <w:fldChar w:fldCharType="separate"/>
      </w:r>
      <w:r>
        <w:rPr>
          <w:rFonts w:hint="eastAsia" w:ascii="仿宋" w:hAnsi="仿宋" w:eastAsia="仿宋" w:cs="仿宋"/>
          <w:highlight w:val="none"/>
        </w:rPr>
        <w:t>附件8：投标人资格声明书</w:t>
      </w:r>
      <w:r>
        <w:rPr>
          <w:highlight w:val="none"/>
        </w:rPr>
        <w:tab/>
      </w:r>
      <w:r>
        <w:rPr>
          <w:highlight w:val="none"/>
        </w:rPr>
        <w:fldChar w:fldCharType="begin"/>
      </w:r>
      <w:r>
        <w:rPr>
          <w:highlight w:val="none"/>
        </w:rPr>
        <w:instrText xml:space="preserve"> PAGEREF _Toc13087 \h </w:instrText>
      </w:r>
      <w:r>
        <w:rPr>
          <w:highlight w:val="none"/>
        </w:rPr>
        <w:fldChar w:fldCharType="separate"/>
      </w:r>
      <w:r>
        <w:rPr>
          <w:highlight w:val="none"/>
        </w:rPr>
        <w:t>40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"_Toc26465" </w:instrText>
      </w:r>
      <w:r>
        <w:rPr>
          <w:highlight w:val="none"/>
        </w:rPr>
        <w:fldChar w:fldCharType="separate"/>
      </w:r>
      <w:r>
        <w:rPr>
          <w:rFonts w:hint="eastAsia" w:ascii="仿宋" w:hAnsi="仿宋" w:eastAsia="仿宋" w:cs="仿宋"/>
          <w:highlight w:val="none"/>
        </w:rPr>
        <w:t>附件9：提供生产厂家授权承诺函</w:t>
      </w:r>
      <w:r>
        <w:rPr>
          <w:highlight w:val="none"/>
        </w:rPr>
        <w:tab/>
      </w:r>
      <w:r>
        <w:rPr>
          <w:highlight w:val="none"/>
        </w:rPr>
        <w:fldChar w:fldCharType="begin"/>
      </w:r>
      <w:r>
        <w:rPr>
          <w:highlight w:val="none"/>
        </w:rPr>
        <w:instrText xml:space="preserve"> PAGEREF _Toc26465 \h </w:instrText>
      </w:r>
      <w:r>
        <w:rPr>
          <w:highlight w:val="none"/>
        </w:rPr>
        <w:fldChar w:fldCharType="separate"/>
      </w:r>
      <w:r>
        <w:rPr>
          <w:highlight w:val="none"/>
        </w:rPr>
        <w:t>41</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"_Toc30840" </w:instrText>
      </w:r>
      <w:r>
        <w:rPr>
          <w:highlight w:val="none"/>
        </w:rPr>
        <w:fldChar w:fldCharType="separate"/>
      </w:r>
      <w:r>
        <w:rPr>
          <w:rFonts w:hint="eastAsia" w:ascii="仿宋" w:hAnsi="仿宋" w:eastAsia="仿宋" w:cs="仿宋"/>
          <w:highlight w:val="none"/>
        </w:rPr>
        <w:t>附件10：技术响应/偏离表</w:t>
      </w:r>
      <w:r>
        <w:rPr>
          <w:highlight w:val="none"/>
        </w:rPr>
        <w:tab/>
      </w:r>
      <w:r>
        <w:rPr>
          <w:highlight w:val="none"/>
        </w:rPr>
        <w:fldChar w:fldCharType="begin"/>
      </w:r>
      <w:r>
        <w:rPr>
          <w:highlight w:val="none"/>
        </w:rPr>
        <w:instrText xml:space="preserve"> PAGEREF _Toc30840 \h </w:instrText>
      </w:r>
      <w:r>
        <w:rPr>
          <w:highlight w:val="none"/>
        </w:rPr>
        <w:fldChar w:fldCharType="separate"/>
      </w:r>
      <w:r>
        <w:rPr>
          <w:highlight w:val="none"/>
        </w:rPr>
        <w:t>42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"_Toc7821" </w:instrText>
      </w:r>
      <w:r>
        <w:rPr>
          <w:highlight w:val="none"/>
        </w:rPr>
        <w:fldChar w:fldCharType="separate"/>
      </w:r>
      <w:r>
        <w:rPr>
          <w:rFonts w:hint="eastAsia" w:ascii="仿宋" w:hAnsi="仿宋" w:eastAsia="仿宋" w:cs="仿宋"/>
          <w:highlight w:val="none"/>
        </w:rPr>
        <w:t>附件11：商务偏离表</w:t>
      </w:r>
      <w:r>
        <w:rPr>
          <w:highlight w:val="none"/>
        </w:rPr>
        <w:tab/>
      </w:r>
      <w:r>
        <w:rPr>
          <w:highlight w:val="none"/>
        </w:rPr>
        <w:fldChar w:fldCharType="begin"/>
      </w:r>
      <w:r>
        <w:rPr>
          <w:highlight w:val="none"/>
        </w:rPr>
        <w:instrText xml:space="preserve"> PAGEREF _Toc7821 \h </w:instrText>
      </w:r>
      <w:r>
        <w:rPr>
          <w:highlight w:val="none"/>
        </w:rPr>
        <w:fldChar w:fldCharType="separate"/>
      </w:r>
      <w:r>
        <w:rPr>
          <w:highlight w:val="none"/>
        </w:rPr>
        <w:t>43</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"_Toc14186" </w:instrText>
      </w:r>
      <w:r>
        <w:rPr>
          <w:highlight w:val="none"/>
        </w:rPr>
        <w:fldChar w:fldCharType="separate"/>
      </w:r>
      <w:r>
        <w:rPr>
          <w:rFonts w:hint="eastAsia" w:ascii="仿宋" w:hAnsi="仿宋" w:eastAsia="仿宋" w:cs="仿宋"/>
          <w:highlight w:val="none"/>
        </w:rPr>
        <w:t>附件12：投标产品近三年销售清单</w:t>
      </w:r>
      <w:r>
        <w:rPr>
          <w:highlight w:val="none"/>
        </w:rPr>
        <w:tab/>
      </w:r>
      <w:r>
        <w:rPr>
          <w:highlight w:val="none"/>
        </w:rPr>
        <w:fldChar w:fldCharType="begin"/>
      </w:r>
      <w:r>
        <w:rPr>
          <w:highlight w:val="none"/>
        </w:rPr>
        <w:instrText xml:space="preserve"> PAGEREF _Toc14186 \h </w:instrText>
      </w:r>
      <w:r>
        <w:rPr>
          <w:highlight w:val="none"/>
        </w:rPr>
        <w:fldChar w:fldCharType="separate"/>
      </w:r>
      <w:r>
        <w:rPr>
          <w:highlight w:val="none"/>
        </w:rPr>
        <w:t>44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"_Toc17904" </w:instrText>
      </w:r>
      <w:r>
        <w:rPr>
          <w:highlight w:val="none"/>
        </w:rPr>
        <w:fldChar w:fldCharType="separate"/>
      </w:r>
      <w:r>
        <w:rPr>
          <w:rFonts w:hint="eastAsia" w:ascii="仿宋" w:hAnsi="仿宋" w:eastAsia="仿宋" w:cs="仿宋"/>
          <w:highlight w:val="none"/>
        </w:rPr>
        <w:t>附件13：投标人近三年类似或相同项目业绩清单</w:t>
      </w:r>
      <w:r>
        <w:rPr>
          <w:highlight w:val="none"/>
        </w:rPr>
        <w:tab/>
      </w:r>
      <w:r>
        <w:rPr>
          <w:highlight w:val="none"/>
        </w:rPr>
        <w:fldChar w:fldCharType="begin"/>
      </w:r>
      <w:r>
        <w:rPr>
          <w:highlight w:val="none"/>
        </w:rPr>
        <w:instrText xml:space="preserve"> PAGEREF _Toc17904 \h </w:instrText>
      </w:r>
      <w:r>
        <w:rPr>
          <w:highlight w:val="none"/>
        </w:rPr>
        <w:fldChar w:fldCharType="separate"/>
      </w:r>
      <w:r>
        <w:rPr>
          <w:highlight w:val="none"/>
        </w:rPr>
        <w:t>45</w:t>
      </w:r>
      <w:r>
        <w:rPr>
          <w:highlight w:val="none"/>
        </w:rPr>
        <w:fldChar w:fldCharType="end"/>
      </w:r>
      <w:r>
        <w:rPr>
          <w:highlight w:val="none"/>
        </w:rPr>
        <w:fldChar w:fldCharType="end"/>
      </w:r>
    </w:p>
    <w:p>
      <w:pPr>
        <w:pStyle w:val="2"/>
        <w:tabs>
          <w:tab w:val="right" w:leader="dot" w:pos="8867"/>
        </w:tabs>
        <w:spacing w:line="360" w:lineRule="auto"/>
        <w:ind w:firstLine="4760" w:firstLineChars="1700"/>
        <w:jc w:val="left"/>
        <w:rPr>
          <w:rFonts w:ascii="仿宋" w:hAnsi="仿宋" w:eastAsia="仿宋" w:cs="仿宋"/>
          <w:b/>
          <w:bCs/>
          <w:sz w:val="24"/>
          <w:szCs w:val="24"/>
          <w:highlight w:val="none"/>
        </w:rPr>
      </w:pPr>
      <w:r>
        <w:rPr>
          <w:rFonts w:hint="eastAsia" w:ascii="仿宋" w:hAnsi="仿宋" w:eastAsia="仿宋" w:cs="仿宋"/>
          <w:highlight w:val="none"/>
        </w:rPr>
        <w:fldChar w:fldCharType="end"/>
      </w:r>
      <w:r>
        <w:rPr>
          <w:rFonts w:hint="eastAsia" w:ascii="仿宋" w:hAnsi="仿宋" w:eastAsia="仿宋" w:cs="仿宋"/>
          <w:b/>
          <w:bCs/>
          <w:sz w:val="24"/>
          <w:szCs w:val="24"/>
          <w:highlight w:val="none"/>
        </w:rPr>
        <w:br w:type="page"/>
      </w:r>
    </w:p>
    <w:p>
      <w:pPr>
        <w:pStyle w:val="3"/>
        <w:rPr>
          <w:rFonts w:ascii="仿宋" w:hAnsi="仿宋" w:eastAsia="仿宋" w:cs="仿宋"/>
          <w:sz w:val="36"/>
          <w:szCs w:val="36"/>
          <w:highlight w:val="none"/>
        </w:rPr>
      </w:pPr>
      <w:bookmarkStart w:id="4" w:name="_Toc3469"/>
      <w:r>
        <w:rPr>
          <w:rFonts w:hint="eastAsia" w:ascii="仿宋" w:hAnsi="仿宋" w:eastAsia="仿宋" w:cs="仿宋"/>
          <w:sz w:val="36"/>
          <w:szCs w:val="36"/>
          <w:highlight w:val="none"/>
        </w:rPr>
        <w:t>第一部分 投标邀请</w:t>
      </w:r>
      <w:bookmarkEnd w:id="4"/>
    </w:p>
    <w:p>
      <w:pPr>
        <w:spacing w:line="400" w:lineRule="exact"/>
        <w:ind w:firstLine="480" w:firstLineChars="200"/>
        <w:rPr>
          <w:rFonts w:ascii="仿宋" w:hAnsi="仿宋" w:eastAsia="仿宋" w:cs="仿宋"/>
          <w:sz w:val="24"/>
          <w:szCs w:val="24"/>
          <w:highlight w:val="none"/>
        </w:rPr>
      </w:pPr>
      <w:bookmarkStart w:id="5" w:name="_Toc325582066"/>
      <w:bookmarkStart w:id="6" w:name="_Toc325620702"/>
      <w:bookmarkStart w:id="7" w:name="_Toc325582571"/>
      <w:r>
        <w:rPr>
          <w:rFonts w:hint="eastAsia" w:ascii="仿宋" w:hAnsi="仿宋" w:eastAsia="仿宋" w:cs="仿宋"/>
          <w:sz w:val="24"/>
          <w:highlight w:val="none"/>
          <w:u w:val="single"/>
        </w:rPr>
        <w:t>山东盛和招标代理有限公司</w:t>
      </w:r>
      <w:r>
        <w:rPr>
          <w:rFonts w:hint="eastAsia" w:ascii="仿宋" w:hAnsi="仿宋" w:eastAsia="仿宋" w:cs="仿宋"/>
          <w:sz w:val="24"/>
          <w:highlight w:val="none"/>
        </w:rPr>
        <w:t>受</w:t>
      </w:r>
      <w:r>
        <w:rPr>
          <w:rFonts w:hint="eastAsia" w:ascii="仿宋" w:hAnsi="仿宋" w:eastAsia="仿宋" w:cs="仿宋"/>
          <w:sz w:val="24"/>
          <w:highlight w:val="none"/>
          <w:u w:val="single"/>
        </w:rPr>
        <w:t>中国石油大学（华东）</w:t>
      </w:r>
      <w:r>
        <w:rPr>
          <w:rFonts w:hint="eastAsia" w:ascii="仿宋" w:hAnsi="仿宋" w:eastAsia="仿宋" w:cs="仿宋"/>
          <w:sz w:val="24"/>
          <w:highlight w:val="none"/>
        </w:rPr>
        <w:t>的委托，依据学校管理规定，并参照《中华人民共和国政府采购法》及其他相关法规，就下述采购项目进行校内招标，邀请合格投标人进行投标。</w:t>
      </w:r>
    </w:p>
    <w:p>
      <w:pPr>
        <w:topLinePunct/>
        <w:spacing w:line="440" w:lineRule="exact"/>
        <w:ind w:firstLine="480" w:firstLineChars="200"/>
        <w:jc w:val="left"/>
        <w:rPr>
          <w:rFonts w:ascii="仿宋" w:hAnsi="仿宋" w:eastAsia="仿宋" w:cs="仿宋"/>
          <w:sz w:val="24"/>
          <w:highlight w:val="none"/>
        </w:rPr>
      </w:pPr>
    </w:p>
    <w:p>
      <w:pPr>
        <w:topLinePunct/>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一、招标人名称：</w:t>
      </w:r>
      <w:r>
        <w:rPr>
          <w:rFonts w:hint="eastAsia" w:ascii="仿宋" w:hAnsi="仿宋" w:eastAsia="仿宋" w:cs="仿宋"/>
          <w:sz w:val="24"/>
          <w:highlight w:val="none"/>
        </w:rPr>
        <w:t>中国石油大学（华东）</w:t>
      </w:r>
    </w:p>
    <w:p>
      <w:pPr>
        <w:topLinePunct/>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二、招标人地址：</w:t>
      </w:r>
      <w:r>
        <w:rPr>
          <w:rFonts w:hint="eastAsia" w:ascii="仿宋" w:hAnsi="仿宋" w:eastAsia="仿宋" w:cs="仿宋"/>
          <w:sz w:val="24"/>
          <w:highlight w:val="none"/>
        </w:rPr>
        <w:t>山东省青岛市黄岛区长江西路66号</w:t>
      </w:r>
    </w:p>
    <w:p>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三、本次招标内容如下：</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名称：古镇口校区青年教师宿舍床及柜类家具</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数量：1批</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预算：</w:t>
      </w:r>
      <w:r>
        <w:rPr>
          <w:rFonts w:hint="eastAsia" w:ascii="仿宋" w:hAnsi="仿宋" w:eastAsia="仿宋" w:cs="仿宋"/>
          <w:sz w:val="24"/>
          <w:highlight w:val="none"/>
        </w:rPr>
        <w:t>696599.80</w:t>
      </w:r>
      <w:r>
        <w:rPr>
          <w:rFonts w:hint="eastAsia" w:ascii="仿宋" w:hAnsi="仿宋" w:eastAsia="仿宋" w:cs="仿宋"/>
          <w:sz w:val="24"/>
          <w:highlight w:val="none"/>
        </w:rPr>
        <w:t>元</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技术要求：详见用户需求书。</w:t>
      </w:r>
    </w:p>
    <w:p>
      <w:pPr>
        <w:numPr>
          <w:ilvl w:val="0"/>
          <w:numId w:val="1"/>
        </w:numPr>
        <w:topLinePunct/>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资格要求</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 投标人在中华人民共和国国内注册，具有独立法人资格，具有独立承担民事责任能力和履行合同的能力；</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 具有良好的商业信誉和健全的财务会计制度；</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 有依法缴纳税收和社会保障资金的良好记录;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4.4参加本次投标的前三年内，在经营活动中没有重大违法记录;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4.5通过“信用中国”网站（www.creditchina.gov.cn）查询，未被列入失信惩戒对象、重大税收违法案件当事人、采购严重违法失信行为记录等名单；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4.6投标人须具有标的物的制造或合法的供货能力（进口产品必须取得生产厂家针对本项目的授权），具有履行合同和售后服务能力。</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4.7本项目不接受联合体投标；</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4.8法律、行政法规规定的其他条件。</w:t>
      </w:r>
    </w:p>
    <w:p>
      <w:pPr>
        <w:spacing w:line="360" w:lineRule="auto"/>
        <w:ind w:firstLine="482" w:firstLineChars="200"/>
        <w:rPr>
          <w:rStyle w:val="178"/>
          <w:rFonts w:ascii="仿宋" w:hAnsi="仿宋" w:eastAsia="仿宋" w:cs="仿宋"/>
          <w:highlight w:val="none"/>
        </w:rPr>
      </w:pPr>
      <w:r>
        <w:rPr>
          <w:rFonts w:hint="eastAsia" w:ascii="仿宋" w:hAnsi="仿宋" w:eastAsia="仿宋" w:cs="仿宋"/>
          <w:b/>
          <w:bCs/>
          <w:sz w:val="24"/>
          <w:szCs w:val="24"/>
          <w:highlight w:val="none"/>
        </w:rPr>
        <w:t>五</w:t>
      </w:r>
      <w:r>
        <w:rPr>
          <w:rFonts w:hint="eastAsia" w:ascii="仿宋" w:hAnsi="仿宋" w:eastAsia="仿宋" w:cs="仿宋"/>
          <w:b/>
          <w:sz w:val="24"/>
          <w:szCs w:val="24"/>
          <w:highlight w:val="none"/>
        </w:rPr>
        <w:t>、</w:t>
      </w:r>
      <w:r>
        <w:rPr>
          <w:rStyle w:val="178"/>
          <w:rFonts w:hint="eastAsia" w:ascii="仿宋" w:hAnsi="仿宋" w:eastAsia="仿宋" w:cs="仿宋"/>
          <w:highlight w:val="none"/>
        </w:rPr>
        <w:t>招标文件的获取</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5.1时间：自2022年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8</w:t>
      </w:r>
      <w:r>
        <w:rPr>
          <w:rFonts w:hint="eastAsia" w:ascii="仿宋" w:hAnsi="仿宋" w:eastAsia="仿宋" w:cs="仿宋"/>
          <w:kern w:val="1"/>
          <w:sz w:val="24"/>
          <w:szCs w:val="24"/>
          <w:highlight w:val="none"/>
        </w:rPr>
        <w:t>日起至2022年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12</w:t>
      </w:r>
      <w:r>
        <w:rPr>
          <w:rFonts w:hint="eastAsia" w:ascii="仿宋" w:hAnsi="仿宋" w:eastAsia="仿宋" w:cs="仿宋"/>
          <w:kern w:val="1"/>
          <w:sz w:val="24"/>
          <w:szCs w:val="24"/>
          <w:highlight w:val="none"/>
        </w:rPr>
        <w:t>日，每天上午08:30至11:30，下午13:30至16:30（北京时间，节假日除外，下同）。</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5.2地点：青岛市市北区敦化路138号西王大厦24楼23A01房间。</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5.3方式：以下方式二选一：</w:t>
      </w:r>
    </w:p>
    <w:p>
      <w:pPr>
        <w:numPr>
          <w:ilvl w:val="0"/>
          <w:numId w:val="2"/>
        </w:num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现场报名：获取招标文件时须携带营业执照副本原件或加盖公章的复印件到山东盛和招标代理有限公司报名；报名地点：青岛市市北区敦化路138号甲西王大厦24楼23A01室。          </w:t>
      </w:r>
    </w:p>
    <w:p>
      <w:pPr>
        <w:numPr>
          <w:ilvl w:val="0"/>
          <w:numId w:val="2"/>
        </w:numPr>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邮件报名：有意参加本次采购活动的供应商发送邮件。邮件内容：项目名称、项目编号、公司名称、联系人、联系电话、邮箱、营业执照副本扫描件、标书费汇款底单发送至山东盛和招标代理有限公司邮箱shzbqdb@163.com，邮件名称命名为</w:t>
      </w:r>
      <w:r>
        <w:rPr>
          <w:rFonts w:hint="eastAsia" w:ascii="仿宋" w:hAnsi="仿宋" w:eastAsia="仿宋" w:cs="仿宋"/>
          <w:b/>
          <w:bCs/>
          <w:i/>
          <w:iCs/>
          <w:kern w:val="1"/>
          <w:highlight w:val="none"/>
          <w:u w:val="single"/>
        </w:rPr>
        <w:t>中国石油大学(华东)古镇口校区青年教师宿舍床及柜类家具</w:t>
      </w:r>
      <w:r>
        <w:rPr>
          <w:rFonts w:hint="eastAsia" w:ascii="仿宋" w:hAnsi="仿宋" w:eastAsia="仿宋" w:cs="仿宋"/>
          <w:b/>
          <w:bCs/>
          <w:i/>
          <w:iCs/>
          <w:kern w:val="1"/>
          <w:highlight w:val="none"/>
        </w:rPr>
        <w:t>-报名 “公司名称”</w:t>
      </w:r>
      <w:r>
        <w:rPr>
          <w:rFonts w:hint="eastAsia" w:ascii="仿宋" w:hAnsi="仿宋" w:eastAsia="仿宋" w:cs="仿宋"/>
          <w:kern w:val="1"/>
          <w:sz w:val="24"/>
          <w:szCs w:val="24"/>
          <w:highlight w:val="none"/>
        </w:rPr>
        <w:t>。(提交标书费须从公司基本账户或一般账户转出，须标明项目编号、开户银行：兴业银行青岛市北支行、开 户 名：山东盛和招标代理有限公司、银行账号：522130100100053768)。未按以上规定内容报名的视为报名无效。</w:t>
      </w:r>
    </w:p>
    <w:p>
      <w:pPr>
        <w:spacing w:line="360" w:lineRule="auto"/>
        <w:ind w:firstLine="480" w:firstLineChars="200"/>
        <w:rPr>
          <w:rFonts w:ascii="仿宋" w:hAnsi="仿宋" w:eastAsia="仿宋" w:cs="仿宋"/>
          <w:highlight w:val="none"/>
        </w:rPr>
      </w:pPr>
      <w:r>
        <w:rPr>
          <w:rFonts w:hint="eastAsia" w:ascii="仿宋" w:hAnsi="仿宋" w:eastAsia="仿宋" w:cs="仿宋"/>
          <w:kern w:val="1"/>
          <w:sz w:val="24"/>
          <w:szCs w:val="24"/>
          <w:highlight w:val="none"/>
        </w:rPr>
        <w:t>5.4文件售价：人民币300元，售后不退。</w:t>
      </w:r>
    </w:p>
    <w:p>
      <w:pPr>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六、投标文件、样品提交起止时间、地点</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投标文件提交起止时间：2022年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18</w:t>
      </w:r>
      <w:r>
        <w:rPr>
          <w:rFonts w:hint="eastAsia" w:ascii="仿宋" w:hAnsi="仿宋" w:eastAsia="仿宋" w:cs="仿宋"/>
          <w:kern w:val="1"/>
          <w:sz w:val="24"/>
          <w:szCs w:val="24"/>
          <w:highlight w:val="none"/>
        </w:rPr>
        <w:t>日</w:t>
      </w:r>
      <w:r>
        <w:rPr>
          <w:rFonts w:hint="eastAsia" w:ascii="仿宋" w:hAnsi="仿宋" w:eastAsia="仿宋" w:cs="仿宋"/>
          <w:sz w:val="24"/>
          <w:highlight w:val="none"/>
        </w:rPr>
        <w:t>08:00-09:00（北京时间）。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投标文件提交地点：山东省青岛市市北区敦化路138号甲西王大厦23A0</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样品提交截止时间：2022年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18</w:t>
      </w:r>
      <w:r>
        <w:rPr>
          <w:rFonts w:hint="eastAsia" w:ascii="仿宋" w:hAnsi="仿宋" w:eastAsia="仿宋" w:cs="仿宋"/>
          <w:kern w:val="1"/>
          <w:sz w:val="24"/>
          <w:szCs w:val="24"/>
          <w:highlight w:val="none"/>
        </w:rPr>
        <w:t>日</w:t>
      </w:r>
      <w:r>
        <w:rPr>
          <w:rFonts w:hint="eastAsia" w:ascii="仿宋" w:hAnsi="仿宋" w:eastAsia="仿宋" w:cs="仿宋"/>
          <w:sz w:val="24"/>
          <w:highlight w:val="none"/>
        </w:rPr>
        <w:t>09:00（北京时间）。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样品提交地点：山东省青岛市市北区敦化路138号甲西王大厦B1平台处。</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提交方式：投标人必须于投标文件提交截止时间前派授权代表提交投标文件及样品，逾期不再受理，传真、邮寄等方式提交的投标文件概不接收。</w:t>
      </w:r>
    </w:p>
    <w:p>
      <w:pPr>
        <w:spacing w:line="440" w:lineRule="exact"/>
        <w:ind w:firstLine="482" w:firstLineChars="200"/>
        <w:jc w:val="left"/>
        <w:rPr>
          <w:rFonts w:ascii="仿宋" w:hAnsi="仿宋" w:eastAsia="仿宋" w:cs="仿宋"/>
          <w:bCs/>
          <w:sz w:val="24"/>
          <w:highlight w:val="none"/>
        </w:rPr>
      </w:pPr>
      <w:r>
        <w:rPr>
          <w:rFonts w:hint="eastAsia" w:ascii="仿宋" w:hAnsi="仿宋" w:eastAsia="仿宋" w:cs="仿宋"/>
          <w:b/>
          <w:bCs/>
          <w:sz w:val="24"/>
          <w:highlight w:val="none"/>
        </w:rPr>
        <w:t>七、开标时间：</w:t>
      </w:r>
      <w:r>
        <w:rPr>
          <w:rFonts w:hint="eastAsia" w:ascii="仿宋" w:hAnsi="仿宋" w:eastAsia="仿宋" w:cs="仿宋"/>
          <w:sz w:val="24"/>
          <w:highlight w:val="none"/>
        </w:rPr>
        <w:t>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18</w:t>
      </w:r>
      <w:r>
        <w:rPr>
          <w:rFonts w:hint="eastAsia" w:ascii="仿宋" w:hAnsi="仿宋" w:eastAsia="仿宋" w:cs="仿宋"/>
          <w:kern w:val="1"/>
          <w:sz w:val="24"/>
          <w:szCs w:val="24"/>
          <w:highlight w:val="none"/>
        </w:rPr>
        <w:t>日</w:t>
      </w:r>
      <w:r>
        <w:rPr>
          <w:rFonts w:hint="eastAsia" w:ascii="仿宋" w:hAnsi="仿宋" w:eastAsia="仿宋" w:cs="仿宋"/>
          <w:sz w:val="24"/>
          <w:highlight w:val="none"/>
        </w:rPr>
        <w:t>09:00（北</w:t>
      </w:r>
      <w:r>
        <w:rPr>
          <w:rFonts w:hint="eastAsia" w:ascii="仿宋" w:hAnsi="仿宋" w:eastAsia="仿宋" w:cs="仿宋"/>
          <w:bCs/>
          <w:sz w:val="24"/>
          <w:highlight w:val="none"/>
        </w:rPr>
        <w:t>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bCs/>
          <w:sz w:val="24"/>
          <w:highlight w:val="none"/>
        </w:rPr>
        <w:t>开标地点：山东省青岛市市北区敦化路138号甲西王大厦23A0</w:t>
      </w:r>
      <w:r>
        <w:rPr>
          <w:rFonts w:hint="eastAsia" w:ascii="仿宋" w:hAnsi="仿宋" w:eastAsia="仿宋" w:cs="仿宋"/>
          <w:bCs/>
          <w:sz w:val="24"/>
          <w:highlight w:val="none"/>
          <w:lang w:val="en-US" w:eastAsia="zh-CN"/>
        </w:rPr>
        <w:t>3</w:t>
      </w:r>
      <w:r>
        <w:rPr>
          <w:rFonts w:hint="eastAsia" w:ascii="仿宋" w:hAnsi="仿宋" w:eastAsia="仿宋" w:cs="仿宋"/>
          <w:sz w:val="24"/>
          <w:highlight w:val="none"/>
        </w:rPr>
        <w:t>。</w:t>
      </w:r>
    </w:p>
    <w:p>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bCs/>
          <w:sz w:val="24"/>
          <w:highlight w:val="none"/>
        </w:rPr>
        <w:t>八</w:t>
      </w:r>
      <w:r>
        <w:rPr>
          <w:rFonts w:hint="eastAsia" w:ascii="仿宋" w:hAnsi="仿宋" w:eastAsia="仿宋" w:cs="仿宋"/>
          <w:sz w:val="24"/>
          <w:highlight w:val="none"/>
        </w:rPr>
        <w:t>、</w:t>
      </w:r>
      <w:r>
        <w:rPr>
          <w:rFonts w:hint="eastAsia" w:ascii="仿宋" w:hAnsi="仿宋" w:eastAsia="仿宋" w:cs="仿宋"/>
          <w:b/>
          <w:bCs/>
          <w:sz w:val="24"/>
          <w:highlight w:val="none"/>
        </w:rPr>
        <w:t>投标保证金</w:t>
      </w:r>
      <w:r>
        <w:rPr>
          <w:rFonts w:hint="eastAsia" w:ascii="仿宋" w:hAnsi="仿宋" w:eastAsia="仿宋" w:cs="仿宋"/>
          <w:b/>
          <w:sz w:val="24"/>
          <w:highlight w:val="none"/>
        </w:rPr>
        <w:t>：</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本项目不需要缴纳投标保证金。</w:t>
      </w:r>
    </w:p>
    <w:p>
      <w:pPr>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九、联系方式：</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9.1招标人联系人：徐老师 联系电话15853256308</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9.2代理机构：山东盛和招标代理有限公司</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bCs/>
          <w:sz w:val="24"/>
          <w:highlight w:val="none"/>
        </w:rPr>
        <w:t>山东省青岛市市北区敦化路138号甲西王大厦23A01</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联系人：王坚</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电话：0532-66753999、15966905965</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邮箱：shzbqdb@163.com</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采购与招标办公室网址：https://zbb.upc.edu.cn</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招标监督电话：0532-86983322</w:t>
      </w:r>
    </w:p>
    <w:p>
      <w:pPr>
        <w:snapToGrid w:val="0"/>
        <w:spacing w:line="360" w:lineRule="auto"/>
        <w:ind w:firstLine="420" w:firstLineChars="175"/>
        <w:jc w:val="left"/>
        <w:rPr>
          <w:rFonts w:ascii="仿宋" w:hAnsi="仿宋" w:eastAsia="仿宋" w:cs="仿宋"/>
          <w:bCs/>
          <w:sz w:val="24"/>
          <w:szCs w:val="24"/>
          <w:highlight w:val="none"/>
        </w:rPr>
      </w:pPr>
    </w:p>
    <w:p>
      <w:pPr>
        <w:jc w:val="left"/>
        <w:rPr>
          <w:rFonts w:ascii="仿宋" w:hAnsi="仿宋" w:eastAsia="仿宋" w:cs="仿宋"/>
          <w:sz w:val="36"/>
          <w:szCs w:val="36"/>
          <w:highlight w:val="none"/>
        </w:rPr>
      </w:pPr>
      <w:r>
        <w:rPr>
          <w:rFonts w:hint="eastAsia" w:ascii="仿宋" w:hAnsi="仿宋" w:eastAsia="仿宋" w:cs="仿宋"/>
          <w:sz w:val="36"/>
          <w:szCs w:val="36"/>
          <w:highlight w:val="none"/>
        </w:rPr>
        <w:br w:type="page"/>
      </w:r>
    </w:p>
    <w:p>
      <w:pPr>
        <w:pStyle w:val="3"/>
        <w:rPr>
          <w:rFonts w:ascii="仿宋" w:hAnsi="仿宋" w:eastAsia="仿宋" w:cs="仿宋"/>
          <w:sz w:val="36"/>
          <w:szCs w:val="36"/>
          <w:highlight w:val="none"/>
        </w:rPr>
      </w:pPr>
      <w:bookmarkStart w:id="8" w:name="_Toc28827"/>
      <w:r>
        <w:rPr>
          <w:rFonts w:hint="eastAsia" w:ascii="仿宋" w:hAnsi="仿宋" w:eastAsia="仿宋" w:cs="仿宋"/>
          <w:sz w:val="36"/>
          <w:szCs w:val="36"/>
          <w:highlight w:val="none"/>
        </w:rPr>
        <w:t>第二部分 投标人须知</w:t>
      </w:r>
      <w:bookmarkEnd w:id="5"/>
      <w:bookmarkEnd w:id="6"/>
      <w:bookmarkEnd w:id="7"/>
      <w:bookmarkEnd w:id="8"/>
    </w:p>
    <w:p>
      <w:pPr>
        <w:pStyle w:val="33"/>
        <w:spacing w:before="0" w:after="0" w:line="440" w:lineRule="exact"/>
        <w:ind w:firstLine="602" w:firstLineChars="200"/>
        <w:outlineLvl w:val="1"/>
        <w:rPr>
          <w:rFonts w:ascii="仿宋" w:hAnsi="仿宋" w:eastAsia="仿宋" w:cs="仿宋"/>
          <w:sz w:val="30"/>
          <w:szCs w:val="30"/>
          <w:highlight w:val="none"/>
        </w:rPr>
      </w:pPr>
      <w:bookmarkStart w:id="9" w:name="_Toc489539215"/>
      <w:bookmarkStart w:id="10" w:name="_Toc325620703"/>
      <w:bookmarkStart w:id="11" w:name="_Toc31046"/>
      <w:r>
        <w:rPr>
          <w:rFonts w:hint="eastAsia" w:ascii="仿宋" w:hAnsi="仿宋" w:eastAsia="仿宋" w:cs="仿宋"/>
          <w:sz w:val="30"/>
          <w:szCs w:val="30"/>
          <w:highlight w:val="none"/>
        </w:rPr>
        <w:t>一、</w:t>
      </w:r>
      <w:bookmarkEnd w:id="9"/>
      <w:bookmarkEnd w:id="10"/>
      <w:r>
        <w:rPr>
          <w:rFonts w:hint="eastAsia" w:ascii="仿宋" w:hAnsi="仿宋" w:eastAsia="仿宋" w:cs="仿宋"/>
          <w:sz w:val="30"/>
          <w:szCs w:val="30"/>
          <w:highlight w:val="none"/>
        </w:rPr>
        <w:t>招标说明</w:t>
      </w:r>
      <w:bookmarkEnd w:id="11"/>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1.本招标文件仅适用于本次投标邀请中所叙述的项目。</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2.招标要求</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（1）投标人必须提交对招标文件实质性响应的投标文件。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（2）投标人的投标报价要按照招标文件规定的格式要求进行相应报价。</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投标人应保证货物是全新、未使用过的合格产品。并完全符合合同规定的质量、规格和性能的要求。中标人应保证所提供的货物经正确安装、正常运转和保养后，在其使用寿命期内应具有满意的性能。在货物质量保证期内卖方应对由于设计、工艺或者材料的缺陷而发生的任何不足或者故障负责。所投产品应提供详细的技术资料。</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（4）投标人须提供投标货物的品牌、型号（配置），非标准化产品的配置应标识清楚，定制货物无品牌、型号的必须在报价明细表的“技术规格”栏内标明为“定制”。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（5）进口产品必须提供生产厂家针对本项目的授权。</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（6）节能产品的优先采购和强制采购以财政部和发展改革委公布的最新“节能产品政府采购品目清单”中所列产品及相关规定为准。</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（7）环境标志产品的优先采购以财政部和生态环境部公布的最新“环境标志产品政府采购品目清单”所列产品为准及相关规定为准。</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（8）除非有特殊要求，招标文件不单独提供项目所在地的自然环境、气候条件、公用设施等情况，供应商被视为熟悉上述与履行合同有关的一切情况。</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（9）投标人可对服务现场以及其范围环境进行考察，以获取有关编制响应文件和签署实施合同所需的各项资料，投标人应承担现场考察的费用、责任和风险。</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（10）项目涉及软件产品的，必须采购和使用正版软件。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（11）项目所涉及的信息安全产品需经过国家相关认证。</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（12）投标人应保证所提供给业主的资料和数据是真实的。</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3.凡参加本次投标的投标人被视为已充分认识和理解了任何与本项目有关的事项及各种困难情况。</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4.投标费用</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投标人应承担所有与准备和参加投标有关的费用，不论投标的结果如何，招标方在任何情况下均无义务和责任承担这些费用。</w:t>
      </w:r>
    </w:p>
    <w:p>
      <w:pPr>
        <w:pStyle w:val="33"/>
        <w:spacing w:before="0" w:after="0" w:line="440" w:lineRule="exact"/>
        <w:ind w:firstLine="602" w:firstLineChars="200"/>
        <w:outlineLvl w:val="1"/>
        <w:rPr>
          <w:rFonts w:ascii="仿宋" w:hAnsi="仿宋" w:eastAsia="仿宋" w:cs="仿宋"/>
          <w:sz w:val="30"/>
          <w:szCs w:val="30"/>
          <w:highlight w:val="none"/>
        </w:rPr>
      </w:pPr>
      <w:bookmarkStart w:id="12" w:name="_Toc489539216"/>
      <w:bookmarkStart w:id="13" w:name="_Toc325620704"/>
      <w:bookmarkStart w:id="14" w:name="_Toc5298"/>
      <w:r>
        <w:rPr>
          <w:rFonts w:hint="eastAsia" w:ascii="仿宋" w:hAnsi="仿宋" w:eastAsia="仿宋" w:cs="仿宋"/>
          <w:sz w:val="30"/>
          <w:szCs w:val="30"/>
          <w:highlight w:val="none"/>
        </w:rPr>
        <w:t>二、定义</w:t>
      </w:r>
      <w:bookmarkEnd w:id="12"/>
      <w:bookmarkEnd w:id="13"/>
      <w:r>
        <w:rPr>
          <w:rFonts w:hint="eastAsia" w:ascii="仿宋" w:hAnsi="仿宋" w:eastAsia="仿宋" w:cs="仿宋"/>
          <w:sz w:val="30"/>
          <w:szCs w:val="30"/>
          <w:highlight w:val="none"/>
        </w:rPr>
        <w:t>及解释</w:t>
      </w:r>
      <w:bookmarkEnd w:id="14"/>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1.校内招标：是指招标人按照《</w:t>
      </w:r>
      <w:r>
        <w:rPr>
          <w:highlight w:val="none"/>
        </w:rPr>
        <w:fldChar w:fldCharType="begin"/>
      </w:r>
      <w:r>
        <w:rPr>
          <w:highlight w:val="none"/>
        </w:rPr>
        <w:instrText xml:space="preserve"> HYPERLINK "http://zb.upc.edu.cn/_upload/article/files/16/1a/fac7d1154ed29897ade859feb82e/b20d900b-9db8-4cb9-95a5-e9a2805ecbe6.pdf" \t "http://zb.upc.edu.cn/7768/_blank" \o "中国石油大学（华东）采购与招标管理办法" </w:instrText>
      </w:r>
      <w:r>
        <w:rPr>
          <w:highlight w:val="none"/>
        </w:rPr>
        <w:fldChar w:fldCharType="separate"/>
      </w:r>
      <w:r>
        <w:rPr>
          <w:rFonts w:hint="eastAsia" w:ascii="仿宋" w:hAnsi="仿宋" w:eastAsia="仿宋" w:cs="仿宋"/>
          <w:sz w:val="24"/>
          <w:szCs w:val="24"/>
          <w:highlight w:val="none"/>
        </w:rPr>
        <w:t>中国石油大学（华东）采购与招标管理办法</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w:t>
      </w:r>
      <w:r>
        <w:rPr>
          <w:highlight w:val="none"/>
        </w:rPr>
        <w:fldChar w:fldCharType="begin"/>
      </w:r>
      <w:r>
        <w:rPr>
          <w:highlight w:val="none"/>
        </w:rPr>
        <w:instrText xml:space="preserve"> HYPERLINK "http://zb.upc.edu.cn/_upload/article/files/31/62/7d44865148398c52710661f47a8d/256ffc75-6b15-4d1f-b433-20478dc4c70c.pdf" \t "http://zb.upc.edu.cn/7768/_blank" \o "中国石油大学（华东）学校集中采购管理实施细则" </w:instrText>
      </w:r>
      <w:r>
        <w:rPr>
          <w:highlight w:val="none"/>
        </w:rPr>
        <w:fldChar w:fldCharType="separate"/>
      </w:r>
      <w:r>
        <w:rPr>
          <w:rFonts w:hint="eastAsia" w:ascii="仿宋" w:hAnsi="仿宋" w:eastAsia="仿宋" w:cs="仿宋"/>
          <w:sz w:val="24"/>
          <w:szCs w:val="24"/>
          <w:highlight w:val="none"/>
        </w:rPr>
        <w:t>中国石油大学（华东）学校集中采购管理实施细则</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》等学校管理规定，同时参照《中华人民共和国政府采购法》及其他相关法规，以招标公告的方式邀请不特定的法人或者其他组织投标。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2.用户/招标人/甲方/需方/采购人：均指中国石油大学（华东）。</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3.投标人/供应商：是指响应招标、参加投标竞争的法人或者其他组织。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4.中标人：是指由评审委员会综合评审的对招标文件做出实质性响应较强，综合实力最优，取得与用户签订合同资格的投标人。</w:t>
      </w:r>
    </w:p>
    <w:p>
      <w:pPr>
        <w:pStyle w:val="33"/>
        <w:spacing w:before="0" w:after="0" w:line="440" w:lineRule="exact"/>
        <w:ind w:firstLine="602" w:firstLineChars="200"/>
        <w:outlineLvl w:val="1"/>
        <w:rPr>
          <w:rFonts w:ascii="仿宋" w:hAnsi="仿宋" w:eastAsia="仿宋" w:cs="仿宋"/>
          <w:sz w:val="30"/>
          <w:szCs w:val="30"/>
          <w:highlight w:val="none"/>
        </w:rPr>
      </w:pPr>
      <w:bookmarkStart w:id="15" w:name="_Toc489539217"/>
      <w:bookmarkStart w:id="16" w:name="_Toc325620705"/>
      <w:bookmarkStart w:id="17" w:name="_Toc341"/>
      <w:r>
        <w:rPr>
          <w:rFonts w:hint="eastAsia" w:ascii="仿宋" w:hAnsi="仿宋" w:eastAsia="仿宋" w:cs="仿宋"/>
          <w:sz w:val="30"/>
          <w:szCs w:val="30"/>
          <w:highlight w:val="none"/>
        </w:rPr>
        <w:t>三、</w:t>
      </w:r>
      <w:bookmarkEnd w:id="15"/>
      <w:bookmarkEnd w:id="16"/>
      <w:r>
        <w:rPr>
          <w:rFonts w:hint="eastAsia" w:ascii="仿宋" w:hAnsi="仿宋" w:eastAsia="仿宋" w:cs="仿宋"/>
          <w:sz w:val="30"/>
          <w:szCs w:val="30"/>
          <w:highlight w:val="none"/>
        </w:rPr>
        <w:t>合格投标人</w:t>
      </w:r>
      <w:bookmarkEnd w:id="17"/>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与本项目招标公告供应商资格要求一致。</w:t>
      </w:r>
    </w:p>
    <w:p>
      <w:pPr>
        <w:pStyle w:val="33"/>
        <w:spacing w:before="0" w:after="0" w:line="440" w:lineRule="exact"/>
        <w:ind w:firstLine="602" w:firstLineChars="200"/>
        <w:outlineLvl w:val="1"/>
        <w:rPr>
          <w:rFonts w:ascii="仿宋" w:hAnsi="仿宋" w:eastAsia="仿宋" w:cs="仿宋"/>
          <w:sz w:val="30"/>
          <w:szCs w:val="30"/>
          <w:highlight w:val="none"/>
        </w:rPr>
      </w:pPr>
      <w:bookmarkStart w:id="18" w:name="_Toc325620706"/>
      <w:bookmarkStart w:id="19" w:name="_Toc489539218"/>
      <w:bookmarkStart w:id="20" w:name="_Toc8489"/>
      <w:r>
        <w:rPr>
          <w:rFonts w:hint="eastAsia" w:ascii="仿宋" w:hAnsi="仿宋" w:eastAsia="仿宋" w:cs="仿宋"/>
          <w:sz w:val="30"/>
          <w:szCs w:val="30"/>
          <w:highlight w:val="none"/>
        </w:rPr>
        <w:t>四、招标文件的澄清或修改</w:t>
      </w:r>
      <w:bookmarkEnd w:id="18"/>
      <w:bookmarkEnd w:id="19"/>
      <w:bookmarkEnd w:id="20"/>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在投标文件提交截止时间前的任何时候，招标人可主动地或在解答投标人提出的需澄清的问题时对招标文件进行修改；澄清或者修改的内容可能影响招标文件编制的，招标人应保证潜在投标人具有不少于2日的时间准备投标文件编制。</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2.澄清或者修改的内容将以书面形式或者电子邮件形式通知所有投标人。所有方式澄清或修改的内容与招标文件具有同等法律效力，将被视为对所有投标供应商进行了有效通知。</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3.投标人在收到招标人发给的任何澄清和修改文件时，都应在收到后立即以书面形式加盖公章或电子邮件形式向招标人确认，如招标人在截止投标时间前未收到回传确认书，视为供应商已收到澄清修改文件。 </w:t>
      </w:r>
    </w:p>
    <w:p>
      <w:pPr>
        <w:pStyle w:val="33"/>
        <w:spacing w:before="0" w:after="0" w:line="440" w:lineRule="exact"/>
        <w:ind w:firstLine="602" w:firstLineChars="200"/>
        <w:outlineLvl w:val="1"/>
        <w:rPr>
          <w:rFonts w:ascii="仿宋" w:hAnsi="仿宋" w:eastAsia="仿宋" w:cs="仿宋"/>
          <w:sz w:val="30"/>
          <w:szCs w:val="30"/>
          <w:highlight w:val="none"/>
        </w:rPr>
      </w:pPr>
      <w:bookmarkStart w:id="21" w:name="_Toc22353"/>
      <w:bookmarkStart w:id="22" w:name="_Toc26915"/>
      <w:bookmarkStart w:id="23" w:name="_Toc325620709"/>
      <w:bookmarkStart w:id="24" w:name="_Toc489539221"/>
      <w:r>
        <w:rPr>
          <w:rFonts w:hint="eastAsia" w:ascii="仿宋" w:hAnsi="仿宋" w:eastAsia="仿宋" w:cs="仿宋"/>
          <w:sz w:val="30"/>
          <w:szCs w:val="30"/>
          <w:highlight w:val="none"/>
        </w:rPr>
        <w:t>五、投标文件的编制与提交</w:t>
      </w:r>
      <w:bookmarkEnd w:id="21"/>
      <w:bookmarkEnd w:id="22"/>
    </w:p>
    <w:p>
      <w:pPr>
        <w:tabs>
          <w:tab w:val="left" w:pos="540"/>
        </w:tabs>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1.特别说明</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sz w:val="24"/>
          <w:szCs w:val="24"/>
          <w:highlight w:val="none"/>
        </w:rPr>
        <w:t>投标人应详细阅读招标文件的全部内容。投标文件须对招标文件中的内容做出实质性和完整的响应，</w:t>
      </w:r>
      <w:r>
        <w:rPr>
          <w:rFonts w:hint="eastAsia" w:ascii="仿宋" w:hAnsi="仿宋" w:eastAsia="仿宋" w:cs="仿宋"/>
          <w:bCs/>
          <w:sz w:val="24"/>
          <w:szCs w:val="24"/>
          <w:highlight w:val="none"/>
        </w:rPr>
        <w:t>本招</w:t>
      </w:r>
      <w:r>
        <w:rPr>
          <w:rFonts w:hint="eastAsia" w:ascii="仿宋" w:hAnsi="仿宋" w:eastAsia="仿宋" w:cs="仿宋"/>
          <w:sz w:val="24"/>
          <w:szCs w:val="24"/>
          <w:highlight w:val="none"/>
        </w:rPr>
        <w:t>标文件的用户需求书中，最关键的技术、服务条款或商务要求（</w:t>
      </w:r>
      <w:r>
        <w:rPr>
          <w:rFonts w:hint="eastAsia" w:ascii="仿宋" w:hAnsi="仿宋" w:eastAsia="仿宋" w:cs="仿宋"/>
          <w:b/>
          <w:sz w:val="24"/>
          <w:szCs w:val="24"/>
          <w:highlight w:val="none"/>
        </w:rPr>
        <w:t>加注“★”的条款</w:t>
      </w:r>
      <w:r>
        <w:rPr>
          <w:rFonts w:hint="eastAsia" w:ascii="仿宋" w:hAnsi="仿宋" w:eastAsia="仿宋" w:cs="仿宋"/>
          <w:sz w:val="24"/>
          <w:szCs w:val="24"/>
          <w:highlight w:val="none"/>
        </w:rPr>
        <w:t>），投标人要特别注意，必须对此完全满足或优于这些要求。否则，若有一项重要指标未完全满足或存在负偏差，将判定为投标无效。</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（2）投标人</w:t>
      </w:r>
      <w:r>
        <w:rPr>
          <w:rFonts w:hint="eastAsia" w:ascii="仿宋" w:hAnsi="仿宋" w:eastAsia="仿宋" w:cs="仿宋"/>
          <w:sz w:val="24"/>
          <w:szCs w:val="24"/>
          <w:highlight w:val="none"/>
        </w:rPr>
        <w:t>应保证所提供的全部资料的真实性、准确性及完整性，如果投标文件填报的内容资料不详，或没有提供招标文件中所要求的全部资料及数据，投标文件将有可能被判定为投标无效。</w:t>
      </w:r>
    </w:p>
    <w:p>
      <w:pPr>
        <w:tabs>
          <w:tab w:val="left" w:pos="540"/>
        </w:tabs>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2.投标文件的语言及计量单位</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投标人就本项目交换的文件和来往信函使用中文。除招标文件的技术规格中另有规定外，投标文件中所使用的计量单位应使用中华人民共和国法定计量单位。</w:t>
      </w:r>
    </w:p>
    <w:p>
      <w:pPr>
        <w:tabs>
          <w:tab w:val="left" w:pos="540"/>
        </w:tabs>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3.投标文件的组成</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投标人编写的投标文件应包括，但不限于下列部分：</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（1）封面（附件1）</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（2）投标函（附件2）。</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（3）法定代表人身份证明或法定代表人授权委托书（附件3、附件4）。</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（4）报价一览表（附件5）。</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（5）报价明细表（附件6）。</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（6）备品备件报价表和随机专用工器具及易损件报价表（附件7）。</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（7）投标人法人证明文件（如“三证合一”的营业执照）及相关资质证书（投标文件内提供复印件并加盖投标人公章）。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（8）投标人须提供缴纳税收证明和社会保障资金证明。</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缴纳税收的证明材料是指投标人参加采购活动前一段时间内缴纳税的凭据。缴纳社会保障资金的证明材料是指参加采购活动前一段时间内缴纳社会保险的凭据（专用收据或社会保险缴纳清单或社会保障网站的网上打印页）；其他组织和自然人也需要提供缴纳税收的凭据和缴纳社会保险的凭据；依法免税、不需要缴纳税收或不需要缴纳社会保障资金的投标人，应提供法定职能部门出据的相应文件证明其依法免税、不需要缴纳税收或不需要缴纳社会保障资金。（投标文件内提供复印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9）投标人须提供财务状况报告（提供具有法定资格的中介机构出具的供应商2019年度或2020年度完整的财务审计报告或提供最新一期财务会计报告，至少包括资产负债表、利润表等（投标文件内提供复印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（10）</w:t>
      </w:r>
      <w:r>
        <w:rPr>
          <w:rFonts w:hint="eastAsia" w:ascii="仿宋" w:hAnsi="仿宋" w:eastAsia="仿宋" w:cs="仿宋"/>
          <w:sz w:val="24"/>
          <w:szCs w:val="24"/>
          <w:highlight w:val="none"/>
        </w:rPr>
        <w:t>“信用中国”网站（www.creditchina.gov.cn）和</w:t>
      </w:r>
      <w:r>
        <w:rPr>
          <w:rFonts w:hint="eastAsia" w:ascii="仿宋" w:hAnsi="仿宋" w:eastAsia="仿宋" w:cs="仿宋"/>
          <w:bCs/>
          <w:sz w:val="24"/>
          <w:szCs w:val="24"/>
          <w:highlight w:val="none"/>
        </w:rPr>
        <w:t>中国政府采购网（www.ccgp.gov.cn）查询结果（网上截图加盖投标人公章）。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（11）出具在经营活动中没有重大违法记录的书面声明（格式自拟）。</w:t>
      </w:r>
    </w:p>
    <w:p>
      <w:pPr>
        <w:tabs>
          <w:tab w:val="left" w:pos="540"/>
        </w:tabs>
        <w:spacing w:line="440" w:lineRule="exact"/>
        <w:ind w:firstLine="480" w:firstLineChars="200"/>
        <w:jc w:val="left"/>
        <w:rPr>
          <w:rFonts w:ascii="仿宋" w:hAnsi="仿宋" w:eastAsia="仿宋" w:cs="仿宋"/>
          <w:bCs/>
          <w:sz w:val="32"/>
          <w:szCs w:val="32"/>
          <w:highlight w:val="none"/>
        </w:rPr>
      </w:pPr>
      <w:r>
        <w:rPr>
          <w:rFonts w:hint="eastAsia" w:ascii="仿宋" w:hAnsi="仿宋" w:eastAsia="仿宋" w:cs="仿宋"/>
          <w:bCs/>
          <w:sz w:val="24"/>
          <w:szCs w:val="24"/>
          <w:highlight w:val="none"/>
        </w:rPr>
        <w:t>（12）投标人资格声明书（附件8）。</w:t>
      </w:r>
    </w:p>
    <w:p>
      <w:pPr>
        <w:tabs>
          <w:tab w:val="left" w:pos="540"/>
        </w:tabs>
        <w:spacing w:line="440" w:lineRule="exact"/>
        <w:ind w:firstLine="480" w:firstLineChars="200"/>
        <w:jc w:val="left"/>
        <w:rPr>
          <w:rFonts w:ascii="仿宋" w:hAnsi="仿宋" w:eastAsia="仿宋" w:cs="仿宋"/>
          <w:bCs/>
          <w:sz w:val="24"/>
          <w:highlight w:val="none"/>
        </w:rPr>
      </w:pPr>
      <w:r>
        <w:rPr>
          <w:rFonts w:hint="eastAsia" w:ascii="仿宋" w:hAnsi="仿宋" w:eastAsia="仿宋" w:cs="仿宋"/>
          <w:bCs/>
          <w:sz w:val="24"/>
          <w:szCs w:val="24"/>
          <w:highlight w:val="none"/>
        </w:rPr>
        <w:t>（13）</w:t>
      </w:r>
      <w:r>
        <w:rPr>
          <w:rFonts w:hint="eastAsia" w:ascii="仿宋" w:hAnsi="仿宋" w:eastAsia="仿宋" w:cs="仿宋"/>
          <w:bCs/>
          <w:sz w:val="24"/>
          <w:highlight w:val="none"/>
        </w:rPr>
        <w:t>生产厂家出具的针对本项目的授权函（进口产品代理商必须提供，国内产品可不提供，但必须在投标文件内作出书面承诺（附件9），保证在签订合同时提交有效的书面授权函）。</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（14）节能、环保产品的资质证书或者证明文件（若有）。</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（15）招标公告及招标邀请中规定的投标人应该满足的资格要求的其他证明材料。</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（16）技术响应/偏离表（附件10）。</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（17）商务偏离表（附件11）。</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（18）投标产品的品牌型号（规格）、详细配置（包括硬件及软件）、主要技术指标及性能详细说明。</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（19）供货组织方案、产品安装和调试方案。</w:t>
      </w:r>
    </w:p>
    <w:p>
      <w:pPr>
        <w:tabs>
          <w:tab w:val="left" w:pos="540"/>
        </w:tabs>
        <w:spacing w:line="440" w:lineRule="exact"/>
        <w:ind w:firstLine="480" w:firstLineChars="200"/>
        <w:jc w:val="left"/>
        <w:rPr>
          <w:rFonts w:ascii="仿宋" w:hAnsi="仿宋" w:eastAsia="仿宋" w:cs="仿宋"/>
          <w:sz w:val="32"/>
          <w:szCs w:val="32"/>
          <w:highlight w:val="none"/>
        </w:rPr>
      </w:pPr>
      <w:r>
        <w:rPr>
          <w:rFonts w:hint="eastAsia" w:ascii="仿宋" w:hAnsi="仿宋" w:eastAsia="仿宋" w:cs="仿宋"/>
          <w:sz w:val="24"/>
          <w:szCs w:val="24"/>
          <w:highlight w:val="none"/>
        </w:rPr>
        <w:t>（20）售后服务（包含故障响应、技术培训、技术支持等）方案。</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sz w:val="24"/>
          <w:szCs w:val="24"/>
          <w:highlight w:val="none"/>
        </w:rPr>
        <w:t>（21）彩页等技术证明材料。</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（22）所投产品最近三年内销售清单（附件12）。</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（23）投标人最近三年内完成的类似或相同项目业绩清单，对其中所列的主要项目应附合同（主要关键页）复印件（附件13）。</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（24）投标人企业简介。</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（25）投标人认为需加以说明的其他内容。</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以上资料均无需提供原件，投标文件中所提供复印件应按以上顺序进行装订，并加盖公章。</w:t>
      </w:r>
    </w:p>
    <w:p>
      <w:pPr>
        <w:tabs>
          <w:tab w:val="left" w:pos="540"/>
        </w:tabs>
        <w:spacing w:line="440" w:lineRule="exact"/>
        <w:ind w:firstLine="482" w:firstLineChars="200"/>
        <w:jc w:val="left"/>
        <w:rPr>
          <w:rFonts w:ascii="仿宋" w:hAnsi="仿宋" w:eastAsia="仿宋" w:cs="仿宋"/>
          <w:bCs/>
          <w:sz w:val="24"/>
          <w:szCs w:val="24"/>
          <w:highlight w:val="none"/>
        </w:rPr>
      </w:pPr>
      <w:r>
        <w:rPr>
          <w:rFonts w:hint="eastAsia" w:ascii="仿宋" w:hAnsi="仿宋" w:eastAsia="仿宋" w:cs="仿宋"/>
          <w:b/>
          <w:bCs/>
          <w:sz w:val="24"/>
          <w:szCs w:val="24"/>
          <w:highlight w:val="none"/>
        </w:rPr>
        <w:t>其中（7）-（13）项为资格审查资料，未按要求提供视为无效投标。</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4.投标报价说明</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（1）本次投标报价为一次性报价；不接受投标备选方案或多个报价。</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报价中应已包括投标所有货物的制造或采购、包装、税费、运输、安装调试（如招标文件未特别说明，安装调试是指必须包含保证货物可以独立正常运行所需的相关线材、人工等所有预见或不可预见的费用）、保险以及质保期内的质量保证和技术服务（包括技术资料、图纸的提供）等全部费用。</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供应商从中华人民共和国境内提供的货物和服务须用人民币报价。从中华人民共和国境外提供的货物，且能够办理免税的用美元报价（CIP青岛），签订合同时按照美元价格签订，评标时按换算出的人民币价格进行报价评审，汇率按开标前三日中国银行公布的美元现钞卖出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进口货物如有国内配套部分，则进口部分按照美元报价，国内配套部分按照人民币报价。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本项目预算包含境外货物和服务的外贸代理费用，外贸代理服务由采购人委托专门公司另行办理，其费用如下：</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5万美元以下：1美元汇率+0.3；</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5-20万美元：1美元汇率+0.25；</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20万美元以上：1美元汇率+0.2。</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评标时报价评审按人民币价格进行，美元价格按以下方法进行换算：（开标前三日中国银行公布的美元现钞卖出单价+不同金额下外贸代理费1美元增加汇率）×美元报价。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注：①汇率按开标前三日，中国银行公布的美元现钞卖出价换算。</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②开标前三日是指：以响应文件提交截止时间开始计算，每24小时为一日，往前计算三日。（外币报价不含外贸代理费，按照上述约定的汇率折算为人民币，再加上外贸代理费，计算报价是否超预算）。</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③使用欧元报价的，执行上述规定。</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（4）投标人所报的投标价在合同执行期间是固定不变的，不以任何理由予以变更。</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（5）单独密封的报价一览表与投标文件中的报价一览表有差异，作无效投标处理；投标文件中的报价一览表与报价明细表内容不一致的，以报价一览表为准。</w:t>
      </w:r>
    </w:p>
    <w:p>
      <w:pPr>
        <w:tabs>
          <w:tab w:val="left" w:pos="840"/>
        </w:tabs>
        <w:spacing w:line="440" w:lineRule="exact"/>
        <w:ind w:firstLine="480" w:firstLineChars="200"/>
        <w:jc w:val="left"/>
        <w:rPr>
          <w:rFonts w:ascii="仿宋" w:hAnsi="仿宋" w:eastAsia="仿宋" w:cs="仿宋"/>
          <w:b/>
          <w:bCs/>
          <w:sz w:val="24"/>
          <w:szCs w:val="24"/>
          <w:highlight w:val="none"/>
        </w:rPr>
      </w:pPr>
      <w:r>
        <w:rPr>
          <w:rFonts w:hint="eastAsia" w:ascii="仿宋" w:hAnsi="仿宋" w:eastAsia="仿宋" w:cs="仿宋"/>
          <w:sz w:val="24"/>
          <w:szCs w:val="24"/>
          <w:highlight w:val="none"/>
        </w:rPr>
        <w:t>（6）投标人须提供分项单价和报价总价。</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5.投标文件的打印及装订</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kern w:val="0"/>
          <w:sz w:val="24"/>
          <w:szCs w:val="24"/>
          <w:highlight w:val="none"/>
        </w:rPr>
        <w:t>投标文件1份正本5份副本，并在投标文件封面标明正本或副本，</w:t>
      </w:r>
      <w:r>
        <w:rPr>
          <w:rFonts w:hint="eastAsia" w:ascii="仿宋" w:hAnsi="仿宋" w:eastAsia="仿宋" w:cs="仿宋"/>
          <w:sz w:val="24"/>
          <w:szCs w:val="24"/>
          <w:highlight w:val="none"/>
        </w:rPr>
        <w:t>用A4幅面的纸张打印。</w:t>
      </w:r>
      <w:r>
        <w:rPr>
          <w:rFonts w:hint="eastAsia" w:ascii="仿宋" w:hAnsi="仿宋" w:eastAsia="仿宋" w:cs="仿宋"/>
          <w:sz w:val="24"/>
          <w:highlight w:val="none"/>
          <w:lang w:val="zh-CN"/>
        </w:rPr>
        <w:t>电子版投标文件</w:t>
      </w:r>
      <w:r>
        <w:rPr>
          <w:rFonts w:hint="eastAsia" w:ascii="仿宋" w:hAnsi="仿宋" w:eastAsia="仿宋" w:cs="仿宋"/>
          <w:sz w:val="24"/>
          <w:highlight w:val="none"/>
        </w:rPr>
        <w:t>1</w:t>
      </w:r>
      <w:r>
        <w:rPr>
          <w:rFonts w:hint="eastAsia" w:ascii="仿宋" w:hAnsi="仿宋" w:eastAsia="仿宋" w:cs="仿宋"/>
          <w:sz w:val="24"/>
          <w:highlight w:val="none"/>
          <w:lang w:val="zh-CN"/>
        </w:rPr>
        <w:t>套：内容与纸质投标文件正本一致，格式：</w:t>
      </w:r>
      <w:r>
        <w:rPr>
          <w:rFonts w:hint="eastAsia" w:ascii="仿宋" w:hAnsi="仿宋" w:eastAsia="仿宋" w:cs="仿宋"/>
          <w:b/>
          <w:bCs/>
          <w:sz w:val="24"/>
          <w:highlight w:val="none"/>
        </w:rPr>
        <w:t>word格式和盖章</w:t>
      </w:r>
      <w:r>
        <w:rPr>
          <w:rFonts w:hint="eastAsia" w:ascii="仿宋" w:hAnsi="仿宋" w:eastAsia="仿宋" w:cs="仿宋"/>
          <w:b/>
          <w:bCs/>
          <w:sz w:val="24"/>
          <w:highlight w:val="none"/>
          <w:lang w:val="zh-CN"/>
        </w:rPr>
        <w:t>PDF格式</w:t>
      </w:r>
      <w:r>
        <w:rPr>
          <w:rFonts w:hint="eastAsia" w:ascii="仿宋" w:hAnsi="仿宋" w:eastAsia="仿宋" w:cs="仿宋"/>
          <w:b/>
          <w:bCs/>
          <w:sz w:val="24"/>
          <w:highlight w:val="none"/>
        </w:rPr>
        <w:t>各一份</w:t>
      </w:r>
      <w:r>
        <w:rPr>
          <w:rFonts w:hint="eastAsia" w:ascii="仿宋" w:hAnsi="仿宋" w:eastAsia="仿宋" w:cs="仿宋"/>
          <w:sz w:val="24"/>
          <w:highlight w:val="none"/>
          <w:lang w:val="zh-CN"/>
        </w:rPr>
        <w:t>；介质：“U”盘或者光盘。</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（2）“报价一览表”用A4幅面的纸张打印。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（3）投标文件的装订必须为</w:t>
      </w:r>
      <w:r>
        <w:rPr>
          <w:rFonts w:hint="eastAsia" w:ascii="仿宋" w:hAnsi="仿宋" w:eastAsia="仿宋" w:cs="仿宋"/>
          <w:b/>
          <w:sz w:val="24"/>
          <w:szCs w:val="24"/>
          <w:highlight w:val="none"/>
        </w:rPr>
        <w:t>胶装</w:t>
      </w:r>
      <w:r>
        <w:rPr>
          <w:rFonts w:hint="eastAsia" w:ascii="仿宋" w:hAnsi="仿宋" w:eastAsia="仿宋" w:cs="仿宋"/>
          <w:sz w:val="24"/>
          <w:szCs w:val="24"/>
          <w:highlight w:val="none"/>
        </w:rPr>
        <w:t>。</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（4）标书内容一律用计算机打印（签名除外），不得涂改。</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（5）投标文件中资料排版必须按照招标文件要求顺序排列，并连续标记页码（彩页等资料除外）。</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6.投标文件的密封和标记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投标人应将投标文件密封，在封口处加盖单位公章并在封面明显处注明项目编号、项目名称、投标人名称（加盖公章）。</w:t>
      </w:r>
    </w:p>
    <w:p>
      <w:pPr>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7.投标文件的提交</w:t>
      </w:r>
    </w:p>
    <w:p>
      <w:pPr>
        <w:spacing w:line="440" w:lineRule="exact"/>
        <w:ind w:firstLine="480" w:firstLineChars="200"/>
        <w:jc w:val="left"/>
        <w:rPr>
          <w:rFonts w:ascii="仿宋" w:hAnsi="仿宋" w:eastAsia="仿宋" w:cs="仿宋"/>
          <w:b/>
          <w:sz w:val="24"/>
          <w:szCs w:val="24"/>
          <w:highlight w:val="none"/>
        </w:rPr>
      </w:pPr>
      <w:r>
        <w:rPr>
          <w:rFonts w:hint="eastAsia" w:ascii="仿宋" w:hAnsi="仿宋" w:eastAsia="仿宋" w:cs="仿宋"/>
          <w:sz w:val="24"/>
          <w:szCs w:val="24"/>
          <w:highlight w:val="none"/>
        </w:rPr>
        <w:t>（1）投标人授权代表必须在投标文件提交截止时间前将投标文件及样品送达指定地点。如因特殊原因需推迟投标文件提交截止时间的，则按招标人另行通知规定的时间提交。</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（2）在投标文件提交截止时间后提交的投标文件以及传真、电子邮件等方式的投标文件概不接收。</w:t>
      </w:r>
    </w:p>
    <w:p>
      <w:pPr>
        <w:spacing w:line="440" w:lineRule="exact"/>
        <w:ind w:firstLine="480" w:firstLineChars="200"/>
        <w:jc w:val="left"/>
        <w:rPr>
          <w:rFonts w:ascii="仿宋" w:hAnsi="仿宋" w:eastAsia="仿宋" w:cs="仿宋"/>
          <w:strike/>
          <w:sz w:val="24"/>
          <w:szCs w:val="24"/>
          <w:highlight w:val="none"/>
        </w:rPr>
      </w:pPr>
      <w:r>
        <w:rPr>
          <w:rFonts w:hint="eastAsia" w:ascii="仿宋" w:hAnsi="仿宋" w:eastAsia="仿宋" w:cs="仿宋"/>
          <w:sz w:val="24"/>
          <w:szCs w:val="24"/>
          <w:highlight w:val="none"/>
        </w:rPr>
        <w:t>（3）已进入评审环节的投标文件不予退还。</w:t>
      </w:r>
    </w:p>
    <w:bookmarkEnd w:id="23"/>
    <w:bookmarkEnd w:id="24"/>
    <w:p>
      <w:pPr>
        <w:pStyle w:val="33"/>
        <w:spacing w:before="0" w:after="0" w:line="440" w:lineRule="exact"/>
        <w:ind w:firstLine="602" w:firstLineChars="200"/>
        <w:outlineLvl w:val="1"/>
        <w:rPr>
          <w:rFonts w:ascii="仿宋" w:hAnsi="仿宋" w:eastAsia="仿宋" w:cs="仿宋"/>
          <w:sz w:val="30"/>
          <w:szCs w:val="30"/>
          <w:highlight w:val="none"/>
        </w:rPr>
      </w:pPr>
      <w:bookmarkStart w:id="25" w:name="_Toc325620708"/>
      <w:bookmarkStart w:id="26" w:name="_Toc20678"/>
      <w:bookmarkStart w:id="27" w:name="_Toc489539220"/>
      <w:bookmarkStart w:id="28" w:name="_Toc11225"/>
      <w:bookmarkStart w:id="29" w:name="_Toc489539223"/>
      <w:bookmarkStart w:id="30" w:name="_Toc325620711"/>
      <w:r>
        <w:rPr>
          <w:rFonts w:hint="eastAsia" w:ascii="仿宋" w:hAnsi="仿宋" w:eastAsia="仿宋" w:cs="仿宋"/>
          <w:sz w:val="30"/>
          <w:szCs w:val="30"/>
          <w:highlight w:val="none"/>
        </w:rPr>
        <w:t>六、投标有效期</w:t>
      </w:r>
      <w:bookmarkEnd w:id="25"/>
      <w:bookmarkEnd w:id="26"/>
      <w:bookmarkEnd w:id="27"/>
      <w:bookmarkEnd w:id="28"/>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投标有效期为90日。投标有效期比规定的有效期短的，将被视为非响应文件而拒绝。特殊情况下，在有效期满之前，招标人可以以书面形式要求投标人同意延长投标有效期。</w:t>
      </w:r>
    </w:p>
    <w:p>
      <w:pPr>
        <w:pStyle w:val="33"/>
        <w:spacing w:before="0" w:after="0" w:line="440" w:lineRule="exact"/>
        <w:ind w:firstLine="602" w:firstLineChars="200"/>
        <w:outlineLvl w:val="1"/>
        <w:rPr>
          <w:rFonts w:ascii="仿宋" w:hAnsi="仿宋" w:eastAsia="仿宋" w:cs="仿宋"/>
          <w:sz w:val="30"/>
          <w:szCs w:val="30"/>
          <w:highlight w:val="none"/>
        </w:rPr>
      </w:pPr>
      <w:bookmarkStart w:id="31" w:name="_Toc31064"/>
      <w:bookmarkStart w:id="32" w:name="_Toc15080"/>
      <w:r>
        <w:rPr>
          <w:rFonts w:hint="eastAsia" w:ascii="仿宋" w:hAnsi="仿宋" w:eastAsia="仿宋" w:cs="仿宋"/>
          <w:sz w:val="30"/>
          <w:szCs w:val="30"/>
          <w:highlight w:val="none"/>
        </w:rPr>
        <w:t>七、投标费用</w:t>
      </w:r>
      <w:bookmarkEnd w:id="31"/>
      <w:bookmarkEnd w:id="32"/>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1.投标人自行承担参与本次项目的所有费用；</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2.中标人在签订合同前，向山东盛和招标代理有限公司交纳中标金额*0.975%中标服务费。</w:t>
      </w:r>
    </w:p>
    <w:p>
      <w:pPr>
        <w:pStyle w:val="33"/>
        <w:spacing w:before="0" w:after="0" w:line="440" w:lineRule="exact"/>
        <w:ind w:firstLine="602" w:firstLineChars="200"/>
        <w:outlineLvl w:val="1"/>
        <w:rPr>
          <w:rFonts w:ascii="仿宋" w:hAnsi="仿宋" w:eastAsia="仿宋" w:cs="仿宋"/>
          <w:sz w:val="30"/>
          <w:szCs w:val="30"/>
          <w:highlight w:val="none"/>
        </w:rPr>
      </w:pPr>
      <w:bookmarkStart w:id="33" w:name="_Toc18083"/>
      <w:bookmarkStart w:id="34" w:name="_Toc325620710"/>
      <w:bookmarkStart w:id="35" w:name="_Toc489539222"/>
      <w:bookmarkStart w:id="36" w:name="_Toc16049"/>
      <w:r>
        <w:rPr>
          <w:rFonts w:hint="eastAsia" w:ascii="仿宋" w:hAnsi="仿宋" w:eastAsia="仿宋" w:cs="仿宋"/>
          <w:sz w:val="30"/>
          <w:szCs w:val="30"/>
          <w:highlight w:val="none"/>
        </w:rPr>
        <w:t>八、投标保证金</w:t>
      </w:r>
      <w:bookmarkEnd w:id="33"/>
      <w:bookmarkEnd w:id="34"/>
      <w:bookmarkEnd w:id="35"/>
      <w:bookmarkEnd w:id="36"/>
    </w:p>
    <w:p>
      <w:pPr>
        <w:snapToGrid w:val="0"/>
        <w:spacing w:line="440" w:lineRule="exact"/>
        <w:ind w:left="480"/>
        <w:jc w:val="left"/>
        <w:rPr>
          <w:rFonts w:ascii="仿宋" w:hAnsi="仿宋" w:eastAsia="仿宋" w:cs="仿宋"/>
          <w:sz w:val="24"/>
          <w:szCs w:val="24"/>
          <w:highlight w:val="none"/>
        </w:rPr>
      </w:pPr>
      <w:r>
        <w:rPr>
          <w:rFonts w:hint="eastAsia" w:ascii="仿宋" w:hAnsi="仿宋" w:eastAsia="仿宋" w:cs="仿宋"/>
          <w:sz w:val="24"/>
          <w:szCs w:val="24"/>
          <w:highlight w:val="none"/>
        </w:rPr>
        <w:t>本项目不需要缴纳投标保证金。</w:t>
      </w:r>
    </w:p>
    <w:p>
      <w:pPr>
        <w:pStyle w:val="33"/>
        <w:spacing w:before="0" w:after="0" w:line="440" w:lineRule="exact"/>
        <w:ind w:firstLine="602" w:firstLineChars="200"/>
        <w:outlineLvl w:val="1"/>
        <w:rPr>
          <w:rFonts w:ascii="仿宋" w:hAnsi="仿宋" w:eastAsia="仿宋" w:cs="仿宋"/>
          <w:sz w:val="44"/>
          <w:szCs w:val="44"/>
          <w:highlight w:val="none"/>
        </w:rPr>
      </w:pPr>
      <w:bookmarkStart w:id="37" w:name="_Toc6512"/>
      <w:r>
        <w:rPr>
          <w:rFonts w:hint="eastAsia" w:ascii="仿宋" w:hAnsi="仿宋" w:eastAsia="仿宋" w:cs="仿宋"/>
          <w:sz w:val="30"/>
          <w:szCs w:val="30"/>
          <w:highlight w:val="none"/>
        </w:rPr>
        <w:t>九、</w:t>
      </w:r>
      <w:bookmarkEnd w:id="29"/>
      <w:bookmarkEnd w:id="30"/>
      <w:r>
        <w:rPr>
          <w:rFonts w:hint="eastAsia" w:ascii="仿宋" w:hAnsi="仿宋" w:eastAsia="仿宋" w:cs="仿宋"/>
          <w:sz w:val="30"/>
          <w:szCs w:val="30"/>
          <w:highlight w:val="none"/>
        </w:rPr>
        <w:t>投标无效</w:t>
      </w:r>
      <w:bookmarkEnd w:id="37"/>
    </w:p>
    <w:p>
      <w:pPr>
        <w:spacing w:line="440" w:lineRule="exact"/>
        <w:ind w:firstLine="480" w:firstLineChars="200"/>
        <w:jc w:val="left"/>
        <w:rPr>
          <w:rFonts w:ascii="仿宋" w:hAnsi="仿宋" w:eastAsia="仿宋" w:cs="仿宋"/>
          <w:sz w:val="24"/>
          <w:szCs w:val="24"/>
          <w:highlight w:val="none"/>
        </w:rPr>
      </w:pPr>
      <w:bookmarkStart w:id="38" w:name="_Toc325620712"/>
      <w:bookmarkStart w:id="39" w:name="_Toc489539224"/>
      <w:bookmarkStart w:id="40" w:name="_Toc6721"/>
      <w:r>
        <w:rPr>
          <w:rFonts w:hint="eastAsia" w:ascii="仿宋" w:hAnsi="仿宋" w:eastAsia="仿宋" w:cs="仿宋"/>
          <w:sz w:val="24"/>
          <w:szCs w:val="24"/>
          <w:highlight w:val="none"/>
        </w:rPr>
        <w:t>投标人有下列情况之一,其投标文件作无效标处理。给学校或其他供应商造成损失的，须承担相应的民事及赔偿责任；构成犯罪的，依法追究刑事责任。</w:t>
      </w:r>
    </w:p>
    <w:p>
      <w:pPr>
        <w:spacing w:line="44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1.未按招标文件规定编制、签署、盖章、装订和密封投标文件的。</w:t>
      </w:r>
    </w:p>
    <w:p>
      <w:pPr>
        <w:spacing w:line="44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2.不具备招标文件中规定的资格要求或超出营业执照经营范围的。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3.报价超过招标文件中规定的预算金额或者最高限价的。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4.投标文件中含有采购人不能接受的附加条件的。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5.对“</w:t>
      </w:r>
      <w:bookmarkStart w:id="41" w:name="OLE_LINK3"/>
      <w:bookmarkStart w:id="42" w:name="OLE_LINK2"/>
      <w:r>
        <w:rPr>
          <w:rFonts w:hint="eastAsia" w:ascii="仿宋" w:hAnsi="仿宋" w:eastAsia="仿宋" w:cs="仿宋"/>
          <w:sz w:val="24"/>
          <w:szCs w:val="24"/>
          <w:highlight w:val="none"/>
        </w:rPr>
        <w:t>★</w:t>
      </w:r>
      <w:bookmarkEnd w:id="41"/>
      <w:bookmarkEnd w:id="42"/>
      <w:r>
        <w:rPr>
          <w:rFonts w:hint="eastAsia" w:ascii="仿宋" w:hAnsi="仿宋" w:eastAsia="仿宋" w:cs="仿宋"/>
          <w:sz w:val="24"/>
          <w:szCs w:val="24"/>
          <w:highlight w:val="none"/>
        </w:rPr>
        <w:t>”条款未做出实质性响应或者发生负偏离的。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6.投标文件提供的有关资格、资质证明文件不真实，提供虚假响应材料的。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7.不按照采购文件规定报价、拒绝报价、有多个报价（采购文件另有规定的除外）、有选择性报价、附有条件的报价或者拒绝修正报价的。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8.报价有效期不满足采购文件要求的。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9.评审小组2/3及以上成员认定报价低于成本或投标方案技术含量低、不符合采购文件要求的。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10.采取不正当手段诋毁、排挤其他供应商的。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11.在规定的开标时间后，投标人在投标有效期内撤回投标的。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12.投标人有串通投标行为的。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13.在整个评审过程中，投标人有企图影响评审结果公正性的任何活动的。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14.中标人声明放弃中标或未在规定时间内签订合同的。</w:t>
      </w:r>
    </w:p>
    <w:p>
      <w:pPr>
        <w:spacing w:line="440" w:lineRule="exact"/>
        <w:ind w:firstLine="480" w:firstLineChars="200"/>
        <w:jc w:val="left"/>
        <w:rPr>
          <w:rFonts w:ascii="仿宋" w:hAnsi="仿宋" w:eastAsia="仿宋" w:cs="仿宋"/>
          <w:strike/>
          <w:sz w:val="24"/>
          <w:szCs w:val="24"/>
          <w:highlight w:val="none"/>
        </w:rPr>
      </w:pPr>
      <w:r>
        <w:rPr>
          <w:rFonts w:hint="eastAsia" w:ascii="仿宋" w:hAnsi="仿宋" w:eastAsia="仿宋" w:cs="仿宋"/>
          <w:sz w:val="24"/>
          <w:szCs w:val="24"/>
          <w:highlight w:val="none"/>
        </w:rPr>
        <w:t>15.法律、法规规定的其他情况。</w:t>
      </w:r>
    </w:p>
    <w:p>
      <w:pPr>
        <w:pStyle w:val="33"/>
        <w:spacing w:before="0" w:after="0" w:line="440" w:lineRule="exact"/>
        <w:ind w:firstLine="602" w:firstLineChars="200"/>
        <w:outlineLvl w:val="1"/>
        <w:rPr>
          <w:rFonts w:ascii="仿宋" w:hAnsi="仿宋" w:eastAsia="仿宋" w:cs="仿宋"/>
          <w:sz w:val="30"/>
          <w:szCs w:val="30"/>
          <w:highlight w:val="none"/>
        </w:rPr>
      </w:pPr>
      <w:bookmarkStart w:id="43" w:name="_Toc491"/>
      <w:r>
        <w:rPr>
          <w:rFonts w:hint="eastAsia" w:ascii="仿宋" w:hAnsi="仿宋" w:eastAsia="仿宋" w:cs="仿宋"/>
          <w:sz w:val="30"/>
          <w:szCs w:val="30"/>
          <w:highlight w:val="none"/>
        </w:rPr>
        <w:t>十</w:t>
      </w:r>
      <w:bookmarkStart w:id="44" w:name="_Toc304901697"/>
      <w:bookmarkStart w:id="45" w:name="_Toc259000653"/>
      <w:r>
        <w:rPr>
          <w:rFonts w:hint="eastAsia" w:ascii="仿宋" w:hAnsi="仿宋" w:eastAsia="仿宋" w:cs="仿宋"/>
          <w:sz w:val="30"/>
          <w:szCs w:val="30"/>
          <w:highlight w:val="none"/>
        </w:rPr>
        <w:t>、招标文件的解释权</w:t>
      </w:r>
      <w:bookmarkEnd w:id="38"/>
      <w:bookmarkEnd w:id="39"/>
      <w:bookmarkEnd w:id="40"/>
      <w:bookmarkEnd w:id="43"/>
      <w:bookmarkEnd w:id="44"/>
      <w:bookmarkEnd w:id="45"/>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1.本招标文件的类同内容解释顺序为：招标公告→投标邀请→投标人须知→用户需求书→合同格式→投标文件格式。但同一部分中对类同内容有不同描述的，则以最有利于招标人的为最终解释原则。</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购买本招标文件的投标人如果认为招标文件的任何条款存在含糊、遗漏、相互矛盾之处，或是对于采购范围的界定和采购内容的要求不清楚，认为存在歧视、限制的情况，投标人应按相关法律、法规、规定以书面形式向招标人寻求书面澄清，未提出异议或者超过质疑时间的视为完全认同本招标文件。</w:t>
      </w:r>
    </w:p>
    <w:p>
      <w:pPr>
        <w:spacing w:line="440" w:lineRule="exact"/>
        <w:ind w:firstLine="480" w:firstLineChars="200"/>
        <w:jc w:val="left"/>
        <w:rPr>
          <w:rFonts w:ascii="仿宋" w:hAnsi="仿宋" w:eastAsia="仿宋" w:cs="仿宋"/>
          <w:sz w:val="36"/>
          <w:szCs w:val="36"/>
          <w:highlight w:val="none"/>
        </w:rPr>
      </w:pPr>
      <w:r>
        <w:rPr>
          <w:rFonts w:hint="eastAsia" w:ascii="仿宋" w:hAnsi="仿宋" w:eastAsia="仿宋" w:cs="仿宋"/>
          <w:sz w:val="24"/>
          <w:szCs w:val="24"/>
          <w:highlight w:val="none"/>
        </w:rPr>
        <w:t>3.本招标文件的最终解释权归中国石油大学（华东）采购与招标办公室。</w:t>
      </w:r>
      <w:bookmarkStart w:id="46" w:name="_Toc12972"/>
      <w:r>
        <w:rPr>
          <w:rFonts w:hint="eastAsia" w:ascii="仿宋" w:hAnsi="仿宋" w:eastAsia="仿宋" w:cs="仿宋"/>
          <w:sz w:val="36"/>
          <w:szCs w:val="36"/>
          <w:highlight w:val="none"/>
        </w:rPr>
        <w:br w:type="page"/>
      </w:r>
    </w:p>
    <w:p>
      <w:pPr>
        <w:pStyle w:val="3"/>
        <w:rPr>
          <w:rFonts w:ascii="仿宋" w:hAnsi="仿宋" w:eastAsia="仿宋" w:cs="仿宋"/>
          <w:sz w:val="36"/>
          <w:szCs w:val="36"/>
          <w:highlight w:val="none"/>
        </w:rPr>
      </w:pPr>
      <w:bookmarkStart w:id="47" w:name="_Toc13061"/>
      <w:r>
        <w:rPr>
          <w:rFonts w:hint="eastAsia" w:ascii="仿宋" w:hAnsi="仿宋" w:eastAsia="仿宋" w:cs="仿宋"/>
          <w:sz w:val="36"/>
          <w:szCs w:val="36"/>
          <w:highlight w:val="none"/>
        </w:rPr>
        <w:t>第三部分 开标、评标、定标</w:t>
      </w:r>
      <w:bookmarkEnd w:id="46"/>
      <w:bookmarkEnd w:id="47"/>
    </w:p>
    <w:p>
      <w:pPr>
        <w:pStyle w:val="33"/>
        <w:spacing w:before="0" w:after="0" w:line="440" w:lineRule="exact"/>
        <w:ind w:firstLine="602" w:firstLineChars="200"/>
        <w:outlineLvl w:val="1"/>
        <w:rPr>
          <w:rFonts w:ascii="仿宋" w:hAnsi="仿宋" w:eastAsia="仿宋" w:cs="仿宋"/>
          <w:sz w:val="30"/>
          <w:szCs w:val="30"/>
          <w:highlight w:val="none"/>
        </w:rPr>
      </w:pPr>
      <w:bookmarkStart w:id="48" w:name="_Toc30853"/>
      <w:bookmarkStart w:id="49" w:name="_Toc28342"/>
      <w:bookmarkStart w:id="50" w:name="_Toc489539226"/>
      <w:bookmarkStart w:id="51" w:name="_Toc325620714"/>
      <w:bookmarkStart w:id="52" w:name="_Toc325620718"/>
      <w:bookmarkStart w:id="53" w:name="_Toc323129564"/>
      <w:bookmarkStart w:id="54" w:name="_Toc325620720"/>
      <w:bookmarkStart w:id="55" w:name="_Toc325582068"/>
      <w:bookmarkStart w:id="56" w:name="_Toc325582573"/>
      <w:r>
        <w:rPr>
          <w:rFonts w:hint="eastAsia" w:ascii="仿宋" w:hAnsi="仿宋" w:eastAsia="仿宋" w:cs="仿宋"/>
          <w:sz w:val="30"/>
          <w:szCs w:val="30"/>
          <w:highlight w:val="none"/>
        </w:rPr>
        <w:t>一、开标</w:t>
      </w:r>
      <w:bookmarkEnd w:id="48"/>
      <w:bookmarkEnd w:id="49"/>
      <w:bookmarkEnd w:id="50"/>
      <w:bookmarkEnd w:id="51"/>
    </w:p>
    <w:p>
      <w:pPr>
        <w:spacing w:line="440" w:lineRule="exact"/>
        <w:ind w:firstLine="480" w:firstLineChars="200"/>
        <w:jc w:val="left"/>
        <w:rPr>
          <w:rFonts w:ascii="仿宋" w:hAnsi="仿宋" w:eastAsia="仿宋" w:cs="仿宋"/>
          <w:sz w:val="24"/>
          <w:szCs w:val="24"/>
          <w:highlight w:val="none"/>
        </w:rPr>
      </w:pPr>
      <w:bookmarkStart w:id="57" w:name="_Toc489539227"/>
      <w:bookmarkStart w:id="58" w:name="_Toc325620715"/>
      <w:r>
        <w:rPr>
          <w:rFonts w:hint="eastAsia" w:ascii="仿宋" w:hAnsi="仿宋" w:eastAsia="仿宋" w:cs="仿宋"/>
          <w:sz w:val="24"/>
          <w:szCs w:val="24"/>
          <w:highlight w:val="none"/>
        </w:rPr>
        <w:t>1.至投标文件提交截止时间，投标供应商不足3家，将导致废标。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2.开标程序：</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（1）开标会由山东盛和招标代理有限公司主持。</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（2）山东盛和招标代理有限公司对开标过程进行录音录像记录，并存档备查。</w:t>
      </w:r>
    </w:p>
    <w:p>
      <w:pPr>
        <w:pStyle w:val="33"/>
        <w:spacing w:before="0" w:after="0" w:line="440" w:lineRule="exact"/>
        <w:ind w:firstLine="602" w:firstLineChars="200"/>
        <w:outlineLvl w:val="1"/>
        <w:rPr>
          <w:rFonts w:ascii="仿宋" w:hAnsi="仿宋" w:eastAsia="仿宋" w:cs="仿宋"/>
          <w:sz w:val="30"/>
          <w:szCs w:val="30"/>
          <w:highlight w:val="none"/>
        </w:rPr>
      </w:pPr>
      <w:bookmarkStart w:id="59" w:name="_Toc25837"/>
      <w:bookmarkStart w:id="60" w:name="_Toc5196"/>
      <w:r>
        <w:rPr>
          <w:rFonts w:hint="eastAsia" w:ascii="仿宋" w:hAnsi="仿宋" w:eastAsia="仿宋" w:cs="仿宋"/>
          <w:sz w:val="30"/>
          <w:szCs w:val="30"/>
          <w:highlight w:val="none"/>
        </w:rPr>
        <w:t>二、评审委员会</w:t>
      </w:r>
      <w:bookmarkEnd w:id="57"/>
      <w:bookmarkEnd w:id="58"/>
      <w:bookmarkEnd w:id="59"/>
      <w:bookmarkEnd w:id="60"/>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1．招标人将根据本项目的特点组成评审委员会，评标过程除评审委员会成员、招标工作人员和实施监督的人员外，其他人员未经允许不能进入评标会现场。</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2.评审委员会根据相关法律、法规和规章，以及招标文件的规定对各投标文件进行评审，推荐中标候选人。</w:t>
      </w:r>
    </w:p>
    <w:p>
      <w:pPr>
        <w:pStyle w:val="33"/>
        <w:spacing w:before="0" w:after="0" w:line="440" w:lineRule="exact"/>
        <w:ind w:firstLine="602" w:firstLineChars="200"/>
        <w:outlineLvl w:val="1"/>
        <w:rPr>
          <w:rFonts w:ascii="仿宋" w:hAnsi="仿宋" w:eastAsia="仿宋" w:cs="仿宋"/>
          <w:sz w:val="30"/>
          <w:szCs w:val="30"/>
          <w:highlight w:val="none"/>
        </w:rPr>
      </w:pPr>
      <w:bookmarkStart w:id="61" w:name="_Toc489539228"/>
      <w:bookmarkStart w:id="62" w:name="_Toc325620716"/>
      <w:bookmarkStart w:id="63" w:name="_Toc22547"/>
      <w:bookmarkStart w:id="64" w:name="_Toc5302"/>
      <w:r>
        <w:rPr>
          <w:rFonts w:hint="eastAsia" w:ascii="仿宋" w:hAnsi="仿宋" w:eastAsia="仿宋" w:cs="仿宋"/>
          <w:sz w:val="30"/>
          <w:szCs w:val="30"/>
          <w:highlight w:val="none"/>
        </w:rPr>
        <w:t>三、</w:t>
      </w:r>
      <w:bookmarkEnd w:id="61"/>
      <w:bookmarkEnd w:id="62"/>
      <w:r>
        <w:rPr>
          <w:rFonts w:hint="eastAsia" w:ascii="仿宋" w:hAnsi="仿宋" w:eastAsia="仿宋" w:cs="仿宋"/>
          <w:sz w:val="30"/>
          <w:szCs w:val="30"/>
          <w:highlight w:val="none"/>
        </w:rPr>
        <w:t>评标原则和评标方法</w:t>
      </w:r>
      <w:bookmarkEnd w:id="63"/>
      <w:bookmarkEnd w:id="64"/>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评标基本原则：评标工作按照本招标文件的规定并参照《中华人民共和国政府采购法》等法律法规及有关规定，遵循“公开、公平、公正、择优、信用”的原则进行。评标委员会将按照规定只对通过资格性审查的投标文件进行详细评审。</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2.评标方法：本次招标的评标方法采用综合评分法。</w:t>
      </w:r>
    </w:p>
    <w:p>
      <w:pPr>
        <w:pStyle w:val="33"/>
        <w:spacing w:before="0" w:after="0" w:line="440" w:lineRule="exact"/>
        <w:ind w:firstLine="602" w:firstLineChars="200"/>
        <w:outlineLvl w:val="1"/>
        <w:rPr>
          <w:rFonts w:ascii="仿宋" w:hAnsi="仿宋" w:eastAsia="仿宋" w:cs="仿宋"/>
          <w:sz w:val="30"/>
          <w:szCs w:val="30"/>
          <w:highlight w:val="none"/>
        </w:rPr>
      </w:pPr>
      <w:bookmarkStart w:id="65" w:name="_Toc325620717"/>
      <w:bookmarkStart w:id="66" w:name="_Toc22975"/>
      <w:bookmarkStart w:id="67" w:name="_Toc489539229"/>
      <w:bookmarkStart w:id="68" w:name="_Toc29592"/>
      <w:r>
        <w:rPr>
          <w:rFonts w:hint="eastAsia" w:ascii="仿宋" w:hAnsi="仿宋" w:eastAsia="仿宋" w:cs="仿宋"/>
          <w:sz w:val="30"/>
          <w:szCs w:val="30"/>
          <w:highlight w:val="none"/>
        </w:rPr>
        <w:t>四、评审办法</w:t>
      </w:r>
      <w:bookmarkEnd w:id="65"/>
      <w:bookmarkEnd w:id="66"/>
      <w:bookmarkEnd w:id="67"/>
      <w:bookmarkEnd w:id="68"/>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本次招标采用综合评分法，评审委员会成员综合评定各投标人提交的投标文件，由评审委员会综合各成员意见作出最终结论。</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1.资格审查</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审查投标人资格条件是否满足要求及其提供的证明材料是否齐全和有效，只有满足招标公告中投标人资格要求的投标人才是合格投标人。被认定为不合格投标人的，不得进入符合性审查。合格投标人不足3家的，不得进入评标阶段。</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2.综合评审</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（1）符合性审查。即由评标委员会根据相关法律规章和招标文件的要求，对通过资格审查的投标人是否响应招标文件实质性要求进行审查。</w:t>
      </w:r>
    </w:p>
    <w:p>
      <w:pPr>
        <w:spacing w:line="440" w:lineRule="exact"/>
        <w:ind w:firstLine="480" w:firstLineChars="200"/>
        <w:jc w:val="left"/>
        <w:rPr>
          <w:rFonts w:ascii="仿宋" w:hAnsi="仿宋" w:eastAsia="仿宋" w:cs="仿宋"/>
          <w:kern w:val="0"/>
          <w:sz w:val="24"/>
          <w:szCs w:val="24"/>
          <w:highlight w:val="none"/>
        </w:rPr>
      </w:pPr>
      <w:r>
        <w:rPr>
          <w:rFonts w:hint="eastAsia" w:ascii="仿宋" w:hAnsi="仿宋" w:eastAsia="仿宋" w:cs="仿宋"/>
          <w:sz w:val="24"/>
          <w:szCs w:val="24"/>
          <w:highlight w:val="none"/>
        </w:rPr>
        <w:t>（2）详细评审。评审委员会将根据招标文件确定的评标标准和方法作详细比较和评价，按照“综合实力最强、能够最大限度满足招标文件中规定的各项综合评价标准，并且投标报价合理”的原则按评分细则对各投标人进行比较和评价打分，按最终得分由高到低排序，确定排名第一的为预中标人。</w:t>
      </w:r>
      <w:r>
        <w:rPr>
          <w:rFonts w:hint="eastAsia" w:ascii="仿宋" w:hAnsi="仿宋" w:eastAsia="仿宋" w:cs="仿宋"/>
          <w:kern w:val="0"/>
          <w:sz w:val="24"/>
          <w:szCs w:val="24"/>
          <w:highlight w:val="none"/>
        </w:rPr>
        <w:t>得分相同的，报价较低的为预中标人。得分且投标报价相同的，技术指标较优的为预中标人。</w:t>
      </w:r>
      <w:bookmarkStart w:id="69" w:name="percentDesc"/>
      <w:bookmarkEnd w:id="69"/>
    </w:p>
    <w:tbl>
      <w:tblPr>
        <w:tblStyle w:val="36"/>
        <w:tblpPr w:leftFromText="180" w:rightFromText="180" w:vertAnchor="text" w:tblpXSpec="center" w:tblpY="1"/>
        <w:tblOverlap w:val="never"/>
        <w:tblW w:w="10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099"/>
        <w:gridCol w:w="65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134"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评分项目</w:t>
            </w: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评审因素</w:t>
            </w:r>
          </w:p>
        </w:tc>
        <w:tc>
          <w:tcPr>
            <w:tcW w:w="655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评分标准说明</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71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1134"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报价</w:t>
            </w:r>
          </w:p>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（30分）</w:t>
            </w: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价格</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满足招标文件要求且投标价格最低的投标报价为评标基准价，其价格分为满分30分。其他投标人的价格分统一按照下列公式计算：投标报价得分=(评标基准价／投标报价)×30%×100。</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1134"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商务部分（8分）</w:t>
            </w:r>
          </w:p>
        </w:tc>
        <w:tc>
          <w:tcPr>
            <w:tcW w:w="1099" w:type="dxa"/>
            <w:vAlign w:val="center"/>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优惠</w:t>
            </w:r>
          </w:p>
          <w:p>
            <w:pPr>
              <w:jc w:val="center"/>
              <w:rPr>
                <w:rFonts w:ascii="仿宋" w:hAnsi="仿宋" w:eastAsia="仿宋" w:cs="仿宋"/>
                <w:sz w:val="24"/>
                <w:szCs w:val="24"/>
                <w:highlight w:val="none"/>
              </w:rPr>
            </w:pPr>
            <w:r>
              <w:rPr>
                <w:rFonts w:hint="eastAsia" w:ascii="仿宋" w:hAnsi="仿宋" w:eastAsia="仿宋" w:cs="仿宋"/>
                <w:kern w:val="0"/>
                <w:sz w:val="24"/>
                <w:highlight w:val="none"/>
              </w:rPr>
              <w:t>条件</w:t>
            </w:r>
          </w:p>
        </w:tc>
        <w:tc>
          <w:tcPr>
            <w:tcW w:w="6550" w:type="dxa"/>
            <w:vAlign w:val="center"/>
          </w:tcPr>
          <w:p>
            <w:pPr>
              <w:rPr>
                <w:rFonts w:ascii="仿宋" w:hAnsi="仿宋" w:eastAsia="仿宋" w:cs="仿宋"/>
                <w:b/>
                <w:bCs/>
                <w:sz w:val="24"/>
                <w:szCs w:val="24"/>
                <w:highlight w:val="none"/>
              </w:rPr>
            </w:pPr>
            <w:r>
              <w:rPr>
                <w:rFonts w:hint="eastAsia" w:ascii="仿宋" w:hAnsi="仿宋" w:eastAsia="仿宋" w:cs="仿宋"/>
                <w:kern w:val="0"/>
                <w:sz w:val="24"/>
                <w:highlight w:val="none"/>
              </w:rPr>
              <w:t>提供超过标书要求的特别优惠条件且经评委认可的，每有一项得1分，最高得2分。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质保期</w:t>
            </w:r>
          </w:p>
        </w:tc>
        <w:tc>
          <w:tcPr>
            <w:tcW w:w="6550" w:type="dxa"/>
            <w:vAlign w:val="center"/>
          </w:tcPr>
          <w:p>
            <w:pPr>
              <w:rPr>
                <w:rFonts w:ascii="仿宋" w:hAnsi="仿宋" w:eastAsia="仿宋" w:cs="仿宋"/>
                <w:kern w:val="0"/>
                <w:sz w:val="24"/>
                <w:highlight w:val="none"/>
              </w:rPr>
            </w:pPr>
            <w:r>
              <w:rPr>
                <w:rFonts w:hint="eastAsia" w:ascii="仿宋" w:hAnsi="仿宋" w:eastAsia="仿宋" w:cs="仿宋"/>
                <w:sz w:val="24"/>
                <w:szCs w:val="24"/>
                <w:highlight w:val="none"/>
              </w:rPr>
              <w:t>投标人承诺产品质保期不低于五年，在五年的基础上每增加一年质保期加1分，该项最多得3分。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同类项目业绩</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投标人提供2019年1月1日至本项目发布招标公告时间（以合同签订日期为准）类似项目业绩，合同内容包含宿舍床、柜类。每提供一个得1分，最高得3分。</w:t>
            </w:r>
          </w:p>
          <w:p>
            <w:pPr>
              <w:pStyle w:val="17"/>
              <w:rPr>
                <w:rFonts w:ascii="仿宋" w:hAnsi="仿宋" w:eastAsia="仿宋" w:cs="仿宋"/>
                <w:b/>
                <w:bCs/>
                <w:sz w:val="24"/>
                <w:szCs w:val="24"/>
                <w:highlight w:val="none"/>
              </w:rPr>
            </w:pPr>
            <w:r>
              <w:rPr>
                <w:rFonts w:hint="eastAsia" w:ascii="仿宋" w:hAnsi="仿宋" w:eastAsia="仿宋" w:cs="仿宋"/>
                <w:b/>
                <w:sz w:val="24"/>
                <w:szCs w:val="24"/>
                <w:highlight w:val="none"/>
              </w:rPr>
              <w:t>注：</w:t>
            </w:r>
            <w:r>
              <w:rPr>
                <w:rFonts w:hint="eastAsia" w:ascii="仿宋" w:hAnsi="仿宋" w:eastAsia="仿宋" w:cs="仿宋"/>
                <w:b/>
                <w:sz w:val="24"/>
                <w:highlight w:val="none"/>
              </w:rPr>
              <w:t>同类项目合同时间以合同签订时间为准。（需在投标文件中提供合同复印件，不提供者、或复印件未加盖投标人公章者，本项不得分）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710"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1134"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技术部分（62分）</w:t>
            </w: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样品</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整体实物样品打分：根据所投样品生产工艺、外观、材质、技术指标满足招标文件的程度，由评标小组根据各投标人提供的样品满足或优于要求（10-15）、轻微瑕疵（6-10分）、重大瑕疵（1-5分）进行评审。</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现场允许对样品做破坏性试验，抽查样品所用材料</w:t>
            </w:r>
            <w:r>
              <w:rPr>
                <w:rFonts w:hint="eastAsia" w:ascii="仿宋" w:hAnsi="仿宋" w:eastAsia="仿宋" w:cs="仿宋"/>
                <w:sz w:val="24"/>
                <w:szCs w:val="24"/>
                <w:highlight w:val="none"/>
              </w:rPr>
              <w:t>，所产生费用由投标人承担。</w:t>
            </w:r>
          </w:p>
          <w:p>
            <w:pPr>
              <w:pStyle w:val="17"/>
              <w:rPr>
                <w:rFonts w:ascii="仿宋" w:hAnsi="仿宋" w:eastAsia="仿宋" w:cs="仿宋"/>
                <w:b/>
                <w:bCs/>
                <w:sz w:val="24"/>
                <w:szCs w:val="24"/>
                <w:highlight w:val="none"/>
              </w:rPr>
            </w:pPr>
            <w:r>
              <w:rPr>
                <w:rFonts w:hint="eastAsia" w:ascii="仿宋" w:hAnsi="仿宋" w:eastAsia="仿宋" w:cs="仿宋"/>
                <w:b/>
                <w:sz w:val="24"/>
                <w:szCs w:val="24"/>
                <w:highlight w:val="none"/>
              </w:rPr>
              <w:t>注：未提供或者样品数量提供不全的不得分。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投标产品技术响应</w:t>
            </w:r>
          </w:p>
        </w:tc>
        <w:tc>
          <w:tcPr>
            <w:tcW w:w="6550" w:type="dxa"/>
            <w:vAlign w:val="center"/>
          </w:tcPr>
          <w:p>
            <w:pPr>
              <w:pStyle w:val="17"/>
              <w:rPr>
                <w:rFonts w:ascii="仿宋" w:hAnsi="仿宋" w:eastAsia="仿宋" w:cs="仿宋"/>
                <w:b/>
                <w:bCs/>
                <w:sz w:val="24"/>
                <w:szCs w:val="24"/>
                <w:highlight w:val="none"/>
              </w:rPr>
            </w:pPr>
            <w:r>
              <w:rPr>
                <w:rFonts w:hint="eastAsia" w:ascii="仿宋" w:hAnsi="仿宋" w:eastAsia="仿宋" w:cs="仿宋"/>
                <w:sz w:val="24"/>
                <w:szCs w:val="24"/>
                <w:highlight w:val="none"/>
              </w:rPr>
              <w:t>通过符合性审查的，得技术响应基础分20分；每有一项负偏离扣1分，扣完为止。</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整体方案</w:t>
            </w:r>
          </w:p>
        </w:tc>
        <w:tc>
          <w:tcPr>
            <w:tcW w:w="6550"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投标人提供产品安装调试方案及进度、质量管理及安全措施整体技术方案；根据符合招标文件要求的程度，进行评价。</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1.方案合理，保障措施明确，符合本项目工作实际需要，得14-20分。</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2.方案可行，缺乏保障措施，符合本项目工作实际需要，得7-13分。</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3.方案有轻微瑕疵，得1-7分。</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4.方案有重大瑕疵，未提供方案或不适用于本项目，本项不得分。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售后服务</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根据售后服务方案满足招标文件的程度，投标人自行承诺，包括响应时间、例行检查、售后服务人员配置（售后服务人员须提供在本单位为其缴纳社保的证明材料），及其它优惠的售后服务措施。满足或优于的招标文件要求的得4-7分，存在轻微瑕疵的得1-3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7</w:t>
            </w:r>
          </w:p>
        </w:tc>
      </w:tr>
    </w:tbl>
    <w:p>
      <w:pPr>
        <w:pStyle w:val="2"/>
        <w:rPr>
          <w:rFonts w:ascii="仿宋" w:hAnsi="仿宋" w:eastAsia="仿宋" w:cs="仿宋"/>
          <w:kern w:val="0"/>
          <w:sz w:val="24"/>
          <w:szCs w:val="24"/>
          <w:highlight w:val="none"/>
        </w:rPr>
      </w:pPr>
    </w:p>
    <w:p>
      <w:pPr>
        <w:rPr>
          <w:highlight w:val="none"/>
        </w:rPr>
      </w:pPr>
    </w:p>
    <w:p>
      <w:pPr>
        <w:spacing w:line="440" w:lineRule="exact"/>
        <w:ind w:firstLine="480" w:firstLineChars="200"/>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3.评分细则：</w:t>
      </w:r>
    </w:p>
    <w:p>
      <w:pPr>
        <w:spacing w:line="440" w:lineRule="exact"/>
        <w:ind w:firstLine="480" w:firstLineChars="200"/>
        <w:jc w:val="left"/>
        <w:rPr>
          <w:rFonts w:ascii="仿宋" w:hAnsi="仿宋" w:eastAsia="仿宋" w:cs="仿宋"/>
          <w:sz w:val="24"/>
          <w:szCs w:val="24"/>
          <w:highlight w:val="none"/>
        </w:rPr>
      </w:pPr>
      <w:bookmarkStart w:id="70" w:name="_Toc489539230"/>
      <w:r>
        <w:rPr>
          <w:rFonts w:hint="eastAsia" w:ascii="仿宋" w:hAnsi="仿宋" w:eastAsia="仿宋" w:cs="仿宋"/>
          <w:sz w:val="24"/>
          <w:szCs w:val="24"/>
          <w:highlight w:val="none"/>
        </w:rPr>
        <w:t>评标委员会根据招标文件确定的评标办法，按综合评审结果进行排序，推荐1-2名中标候选人，排名第一的为中标人。</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4．评标过程保密</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凡是属于审查、澄清、评价和比较投标的有关资料以及中标意向等，均不向投标人或者其他与评标无关的人员透露。</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5.投标人瑕疵滞后的处理</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无论基于何种原因，各项本应作拒绝处理的情形即便未被及时发现而使该投标人进入资格审查、评审或其它后续程序，包括已经签订合同的情形，一旦在任何时间被发现存在上述情形，则招标人有权随时视情形决定是否取消该投标人的此前评议结果，并有权决定采取相应的补救或纠正措施。一旦该投标人被取消此前评议结果，其现有的位置将被其他投标人依序替代或者此项目做废标处理。</w:t>
      </w:r>
    </w:p>
    <w:bookmarkEnd w:id="52"/>
    <w:bookmarkEnd w:id="70"/>
    <w:p>
      <w:pPr>
        <w:pStyle w:val="33"/>
        <w:spacing w:before="0" w:after="0" w:line="440" w:lineRule="exact"/>
        <w:ind w:firstLine="602" w:firstLineChars="200"/>
        <w:outlineLvl w:val="1"/>
        <w:rPr>
          <w:rFonts w:ascii="仿宋" w:hAnsi="仿宋" w:eastAsia="仿宋" w:cs="仿宋"/>
          <w:sz w:val="30"/>
          <w:szCs w:val="30"/>
          <w:highlight w:val="none"/>
        </w:rPr>
      </w:pPr>
      <w:bookmarkStart w:id="71" w:name="_Toc10859"/>
      <w:bookmarkStart w:id="72" w:name="_Toc10224"/>
      <w:r>
        <w:rPr>
          <w:rFonts w:hint="eastAsia" w:ascii="仿宋" w:hAnsi="仿宋" w:eastAsia="仿宋" w:cs="仿宋"/>
          <w:sz w:val="30"/>
          <w:szCs w:val="30"/>
          <w:highlight w:val="none"/>
        </w:rPr>
        <w:t>五、废标</w:t>
      </w:r>
      <w:bookmarkEnd w:id="71"/>
      <w:bookmarkEnd w:id="72"/>
    </w:p>
    <w:p>
      <w:pPr>
        <w:spacing w:line="440" w:lineRule="exact"/>
        <w:ind w:firstLine="480" w:firstLineChars="200"/>
        <w:jc w:val="left"/>
        <w:rPr>
          <w:rFonts w:ascii="仿宋" w:hAnsi="仿宋" w:eastAsia="仿宋" w:cs="仿宋"/>
          <w:sz w:val="24"/>
          <w:szCs w:val="24"/>
          <w:highlight w:val="none"/>
        </w:rPr>
      </w:pPr>
      <w:bookmarkStart w:id="73" w:name="_Toc325620719"/>
      <w:bookmarkStart w:id="74" w:name="_Toc16956"/>
      <w:bookmarkStart w:id="75" w:name="_Toc489539231"/>
      <w:r>
        <w:rPr>
          <w:rFonts w:hint="eastAsia" w:ascii="仿宋" w:hAnsi="仿宋" w:eastAsia="仿宋" w:cs="仿宋"/>
          <w:sz w:val="24"/>
          <w:szCs w:val="24"/>
          <w:highlight w:val="none"/>
        </w:rPr>
        <w:t>在招标采购中，出现下列情形之一的，应予废标：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1.符合专业条件的供应商或者对招标文件作实质响应的供应商不足三家的；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2.出现影响采购公正的违法、违规行为的；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3.投标人的报价均超过了采购预算，招标人不能支付的；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4.因重大变故，采购任务取消的。</w:t>
      </w:r>
    </w:p>
    <w:p>
      <w:pPr>
        <w:pStyle w:val="33"/>
        <w:spacing w:before="0" w:after="0" w:line="440" w:lineRule="exact"/>
        <w:ind w:firstLine="602" w:firstLineChars="200"/>
        <w:outlineLvl w:val="1"/>
        <w:rPr>
          <w:rFonts w:ascii="仿宋" w:hAnsi="仿宋" w:eastAsia="仿宋" w:cs="仿宋"/>
          <w:sz w:val="30"/>
          <w:szCs w:val="30"/>
          <w:highlight w:val="none"/>
        </w:rPr>
      </w:pPr>
      <w:bookmarkStart w:id="76" w:name="_Toc994"/>
      <w:r>
        <w:rPr>
          <w:rFonts w:hint="eastAsia" w:ascii="仿宋" w:hAnsi="仿宋" w:eastAsia="仿宋" w:cs="仿宋"/>
          <w:sz w:val="30"/>
          <w:szCs w:val="30"/>
          <w:highlight w:val="none"/>
        </w:rPr>
        <w:t>六、中标通知书</w:t>
      </w:r>
      <w:bookmarkEnd w:id="73"/>
      <w:bookmarkEnd w:id="74"/>
      <w:bookmarkEnd w:id="75"/>
      <w:bookmarkEnd w:id="76"/>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评审结束后，由采购与招标办公室向中标人签发《中标通知书》。</w:t>
      </w:r>
    </w:p>
    <w:p>
      <w:pPr>
        <w:pStyle w:val="33"/>
        <w:spacing w:before="0" w:after="0" w:line="440" w:lineRule="exact"/>
        <w:ind w:firstLine="602" w:firstLineChars="200"/>
        <w:outlineLvl w:val="1"/>
        <w:rPr>
          <w:rFonts w:ascii="仿宋" w:hAnsi="仿宋" w:eastAsia="仿宋" w:cs="仿宋"/>
          <w:sz w:val="30"/>
          <w:szCs w:val="30"/>
          <w:highlight w:val="none"/>
        </w:rPr>
      </w:pPr>
      <w:bookmarkStart w:id="77" w:name="_Toc25014"/>
      <w:bookmarkStart w:id="78" w:name="_Toc7184"/>
      <w:r>
        <w:rPr>
          <w:rFonts w:hint="eastAsia" w:ascii="仿宋" w:hAnsi="仿宋" w:eastAsia="仿宋" w:cs="仿宋"/>
          <w:sz w:val="30"/>
          <w:szCs w:val="30"/>
          <w:highlight w:val="none"/>
        </w:rPr>
        <w:t>七、合同授予</w:t>
      </w:r>
      <w:bookmarkEnd w:id="77"/>
      <w:bookmarkEnd w:id="78"/>
    </w:p>
    <w:bookmarkEnd w:id="53"/>
    <w:bookmarkEnd w:id="54"/>
    <w:bookmarkEnd w:id="55"/>
    <w:bookmarkEnd w:id="56"/>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1.中标人在收到《中标通知书》后，应按照采购人指定的时间、地点，派遣其授权代表前往与甲方签署合同。</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2.签署合同时，</w:t>
      </w:r>
      <w:r>
        <w:rPr>
          <w:rFonts w:hint="eastAsia" w:ascii="仿宋" w:hAnsi="仿宋" w:eastAsia="仿宋" w:cs="仿宋"/>
          <w:b/>
          <w:bCs/>
          <w:sz w:val="24"/>
          <w:highlight w:val="none"/>
        </w:rPr>
        <w:t>非生产厂家须在签订合同时提供生产厂家针对本次招标的投标授权书原件，若不能提供，中标结果无效，按提供虚假资料谋取中标处理</w:t>
      </w:r>
      <w:r>
        <w:rPr>
          <w:rFonts w:hint="eastAsia" w:ascii="仿宋" w:hAnsi="仿宋" w:eastAsia="仿宋" w:cs="仿宋"/>
          <w:sz w:val="24"/>
          <w:szCs w:val="24"/>
          <w:highlight w:val="none"/>
        </w:rPr>
        <w:t>。</w:t>
      </w:r>
      <w:r>
        <w:rPr>
          <w:rFonts w:hint="eastAsia" w:ascii="仿宋" w:hAnsi="仿宋" w:eastAsia="仿宋" w:cs="仿宋"/>
          <w:b/>
          <w:bCs/>
          <w:sz w:val="24"/>
          <w:highlight w:val="none"/>
        </w:rPr>
        <w:t>给学校造成损失的，须承担相应的民事及赔偿责任。</w:t>
      </w:r>
    </w:p>
    <w:p>
      <w:pPr>
        <w:jc w:val="left"/>
        <w:rPr>
          <w:rFonts w:ascii="仿宋" w:hAnsi="仿宋" w:eastAsia="仿宋" w:cs="仿宋"/>
          <w:sz w:val="36"/>
          <w:szCs w:val="36"/>
          <w:highlight w:val="none"/>
        </w:rPr>
      </w:pPr>
      <w:r>
        <w:rPr>
          <w:rFonts w:hint="eastAsia" w:ascii="仿宋" w:hAnsi="仿宋" w:eastAsia="仿宋" w:cs="仿宋"/>
          <w:sz w:val="36"/>
          <w:szCs w:val="36"/>
          <w:highlight w:val="none"/>
        </w:rPr>
        <w:br w:type="page"/>
      </w:r>
    </w:p>
    <w:p>
      <w:pPr>
        <w:pStyle w:val="3"/>
        <w:spacing w:line="440" w:lineRule="exact"/>
        <w:ind w:firstLine="200"/>
        <w:rPr>
          <w:rFonts w:ascii="仿宋" w:hAnsi="仿宋" w:eastAsia="仿宋" w:cs="仿宋"/>
          <w:sz w:val="36"/>
          <w:szCs w:val="36"/>
          <w:highlight w:val="none"/>
        </w:rPr>
      </w:pPr>
      <w:bookmarkStart w:id="79" w:name="_Toc19110"/>
      <w:r>
        <w:rPr>
          <w:rFonts w:hint="eastAsia" w:ascii="仿宋" w:hAnsi="仿宋" w:eastAsia="仿宋" w:cs="仿宋"/>
          <w:sz w:val="36"/>
          <w:szCs w:val="36"/>
          <w:highlight w:val="none"/>
        </w:rPr>
        <w:t>第四部分  合同格式</w:t>
      </w:r>
      <w:bookmarkEnd w:id="79"/>
    </w:p>
    <w:p>
      <w:pPr>
        <w:ind w:firstLine="2834" w:firstLineChars="941"/>
        <w:jc w:val="left"/>
        <w:rPr>
          <w:rFonts w:ascii="仿宋" w:hAnsi="仿宋" w:eastAsia="仿宋" w:cs="仿宋"/>
          <w:b/>
          <w:sz w:val="30"/>
          <w:szCs w:val="30"/>
          <w:highlight w:val="none"/>
        </w:rPr>
      </w:pPr>
    </w:p>
    <w:p>
      <w:pPr>
        <w:ind w:firstLine="2834" w:firstLineChars="941"/>
        <w:jc w:val="left"/>
        <w:rPr>
          <w:rFonts w:ascii="仿宋" w:hAnsi="仿宋" w:eastAsia="仿宋" w:cs="仿宋"/>
          <w:b/>
          <w:sz w:val="30"/>
          <w:szCs w:val="30"/>
          <w:highlight w:val="none"/>
        </w:rPr>
      </w:pPr>
      <w:r>
        <w:rPr>
          <w:rFonts w:hint="eastAsia" w:ascii="仿宋" w:hAnsi="仿宋" w:eastAsia="仿宋" w:cs="仿宋"/>
          <w:b/>
          <w:sz w:val="30"/>
          <w:szCs w:val="30"/>
          <w:highlight w:val="none"/>
        </w:rPr>
        <w:t>国内产品购销合同</w:t>
      </w:r>
    </w:p>
    <w:p>
      <w:pPr>
        <w:ind w:firstLine="6123" w:firstLineChars="2041"/>
        <w:jc w:val="left"/>
        <w:rPr>
          <w:rFonts w:ascii="仿宋" w:hAnsi="仿宋" w:eastAsia="仿宋" w:cs="仿宋"/>
          <w:sz w:val="30"/>
          <w:szCs w:val="30"/>
          <w:highlight w:val="none"/>
        </w:rPr>
      </w:pPr>
      <w:r>
        <w:rPr>
          <w:rFonts w:hint="eastAsia" w:ascii="仿宋" w:hAnsi="仿宋" w:eastAsia="仿宋" w:cs="仿宋"/>
          <w:sz w:val="30"/>
          <w:szCs w:val="30"/>
          <w:highlight w:val="none"/>
        </w:rPr>
        <w:t>合同编号：HT2022</w:t>
      </w:r>
    </w:p>
    <w:tbl>
      <w:tblPr>
        <w:tblStyle w:val="36"/>
        <w:tblW w:w="0" w:type="auto"/>
        <w:jc w:val="center"/>
        <w:tblLayout w:type="fixed"/>
        <w:tblCellMar>
          <w:top w:w="0" w:type="dxa"/>
          <w:left w:w="108" w:type="dxa"/>
          <w:bottom w:w="0" w:type="dxa"/>
          <w:right w:w="108" w:type="dxa"/>
        </w:tblCellMar>
      </w:tblPr>
      <w:tblGrid>
        <w:gridCol w:w="4077"/>
        <w:gridCol w:w="5006"/>
      </w:tblGrid>
      <w:tr>
        <w:tblPrEx>
          <w:tblCellMar>
            <w:top w:w="0" w:type="dxa"/>
            <w:left w:w="108" w:type="dxa"/>
            <w:bottom w:w="0" w:type="dxa"/>
            <w:right w:w="108" w:type="dxa"/>
          </w:tblCellMar>
        </w:tblPrEx>
        <w:trPr>
          <w:trHeight w:val="296"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签订地点</w:t>
            </w:r>
            <w:r>
              <w:rPr>
                <w:rFonts w:hint="eastAsia" w:ascii="仿宋" w:hAnsi="仿宋" w:eastAsia="仿宋" w:cs="仿宋"/>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签订时间：</w:t>
            </w:r>
            <w:r>
              <w:rPr>
                <w:rFonts w:hint="eastAsia" w:ascii="仿宋" w:hAnsi="仿宋" w:eastAsia="仿宋" w:cs="仿宋"/>
                <w:sz w:val="24"/>
                <w:szCs w:val="24"/>
                <w:highlight w:val="none"/>
              </w:rPr>
              <w:t xml:space="preserve">202 年   月   日  </w:t>
            </w:r>
          </w:p>
        </w:tc>
      </w:tr>
      <w:tr>
        <w:tblPrEx>
          <w:tblCellMar>
            <w:top w:w="0" w:type="dxa"/>
            <w:left w:w="108" w:type="dxa"/>
            <w:bottom w:w="0" w:type="dxa"/>
            <w:right w:w="108" w:type="dxa"/>
          </w:tblCellMar>
        </w:tblPrEx>
        <w:trPr>
          <w:trHeight w:val="287"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需    方</w:t>
            </w:r>
            <w:r>
              <w:rPr>
                <w:rFonts w:hint="eastAsia" w:ascii="仿宋" w:hAnsi="仿宋" w:eastAsia="仿宋" w:cs="仿宋"/>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供    方：</w:t>
            </w:r>
            <w:r>
              <w:rPr>
                <w:rFonts w:hint="eastAsia" w:ascii="仿宋" w:hAnsi="仿宋" w:eastAsia="仿宋" w:cs="仿宋"/>
                <w:sz w:val="24"/>
                <w:szCs w:val="24"/>
                <w:highlight w:val="none"/>
              </w:rPr>
              <w:t xml:space="preserve"> </w:t>
            </w:r>
          </w:p>
        </w:tc>
      </w:tr>
    </w:tbl>
    <w:p>
      <w:pPr>
        <w:spacing w:line="480" w:lineRule="auto"/>
        <w:jc w:val="left"/>
        <w:rPr>
          <w:rFonts w:ascii="仿宋" w:hAnsi="仿宋" w:eastAsia="仿宋" w:cs="仿宋"/>
          <w:b/>
          <w:sz w:val="24"/>
          <w:szCs w:val="24"/>
          <w:highlight w:val="none"/>
        </w:rPr>
      </w:pPr>
      <w:r>
        <w:rPr>
          <w:rFonts w:hint="eastAsia" w:ascii="仿宋" w:hAnsi="仿宋" w:eastAsia="仿宋" w:cs="仿宋"/>
          <w:b/>
          <w:sz w:val="24"/>
          <w:szCs w:val="24"/>
          <w:highlight w:val="none"/>
        </w:rPr>
        <w:t xml:space="preserve">一、产品名称商标、型号、厂家、数量、金额、供货时间及数量    </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084"/>
        <w:gridCol w:w="1033"/>
        <w:gridCol w:w="1252"/>
        <w:gridCol w:w="639"/>
        <w:gridCol w:w="615"/>
        <w:gridCol w:w="101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80" w:type="dxa"/>
            <w:vAlign w:val="center"/>
          </w:tcPr>
          <w:p>
            <w:pPr>
              <w:adjustRightInd w:val="0"/>
              <w:snapToGrid w:val="0"/>
              <w:ind w:left="-23" w:leftChars="-57" w:right="-143" w:rightChars="-51" w:hanging="137" w:hangingChars="57"/>
              <w:jc w:val="left"/>
              <w:rPr>
                <w:rFonts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2084"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设备名称</w:t>
            </w:r>
          </w:p>
        </w:tc>
        <w:tc>
          <w:tcPr>
            <w:tcW w:w="1033"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设备厂商</w:t>
            </w:r>
          </w:p>
        </w:tc>
        <w:tc>
          <w:tcPr>
            <w:tcW w:w="1252"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规格型号</w:t>
            </w:r>
          </w:p>
        </w:tc>
        <w:tc>
          <w:tcPr>
            <w:tcW w:w="639"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615"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数量</w:t>
            </w:r>
          </w:p>
        </w:tc>
        <w:tc>
          <w:tcPr>
            <w:tcW w:w="1016"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单价</w:t>
            </w:r>
          </w:p>
        </w:tc>
        <w:tc>
          <w:tcPr>
            <w:tcW w:w="1964"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80" w:type="dxa"/>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84" w:type="dxa"/>
            <w:vAlign w:val="center"/>
          </w:tcPr>
          <w:p>
            <w:pPr>
              <w:jc w:val="left"/>
              <w:rPr>
                <w:rFonts w:ascii="仿宋" w:hAnsi="仿宋" w:eastAsia="仿宋" w:cs="仿宋"/>
                <w:sz w:val="24"/>
                <w:szCs w:val="24"/>
                <w:highlight w:val="none"/>
              </w:rPr>
            </w:pPr>
          </w:p>
        </w:tc>
        <w:tc>
          <w:tcPr>
            <w:tcW w:w="1033" w:type="dxa"/>
            <w:vAlign w:val="center"/>
          </w:tcPr>
          <w:p>
            <w:pPr>
              <w:adjustRightInd w:val="0"/>
              <w:snapToGrid w:val="0"/>
              <w:spacing w:line="360" w:lineRule="auto"/>
              <w:jc w:val="left"/>
              <w:rPr>
                <w:rFonts w:ascii="仿宋" w:hAnsi="仿宋" w:eastAsia="仿宋" w:cs="仿宋"/>
                <w:sz w:val="24"/>
                <w:szCs w:val="24"/>
                <w:highlight w:val="none"/>
              </w:rPr>
            </w:pPr>
          </w:p>
        </w:tc>
        <w:tc>
          <w:tcPr>
            <w:tcW w:w="1252" w:type="dxa"/>
            <w:vAlign w:val="center"/>
          </w:tcPr>
          <w:p>
            <w:pPr>
              <w:adjustRightInd w:val="0"/>
              <w:snapToGrid w:val="0"/>
              <w:spacing w:line="360" w:lineRule="auto"/>
              <w:jc w:val="left"/>
              <w:rPr>
                <w:rFonts w:ascii="仿宋" w:hAnsi="仿宋" w:eastAsia="仿宋" w:cs="仿宋"/>
                <w:sz w:val="24"/>
                <w:szCs w:val="24"/>
                <w:highlight w:val="none"/>
              </w:rPr>
            </w:pPr>
          </w:p>
        </w:tc>
        <w:tc>
          <w:tcPr>
            <w:tcW w:w="639" w:type="dxa"/>
            <w:vAlign w:val="center"/>
          </w:tcPr>
          <w:p>
            <w:pPr>
              <w:adjustRightInd w:val="0"/>
              <w:snapToGrid w:val="0"/>
              <w:spacing w:line="360" w:lineRule="auto"/>
              <w:jc w:val="left"/>
              <w:rPr>
                <w:rFonts w:ascii="仿宋" w:hAnsi="仿宋" w:eastAsia="仿宋" w:cs="仿宋"/>
                <w:sz w:val="24"/>
                <w:szCs w:val="24"/>
                <w:highlight w:val="none"/>
              </w:rPr>
            </w:pPr>
          </w:p>
        </w:tc>
        <w:tc>
          <w:tcPr>
            <w:tcW w:w="615" w:type="dxa"/>
            <w:vAlign w:val="center"/>
          </w:tcPr>
          <w:p>
            <w:pPr>
              <w:adjustRightInd w:val="0"/>
              <w:snapToGrid w:val="0"/>
              <w:spacing w:line="360" w:lineRule="auto"/>
              <w:jc w:val="left"/>
              <w:rPr>
                <w:rFonts w:ascii="仿宋" w:hAnsi="仿宋" w:eastAsia="仿宋" w:cs="仿宋"/>
                <w:sz w:val="24"/>
                <w:szCs w:val="24"/>
                <w:highlight w:val="none"/>
              </w:rPr>
            </w:pPr>
          </w:p>
        </w:tc>
        <w:tc>
          <w:tcPr>
            <w:tcW w:w="1016" w:type="dxa"/>
            <w:vAlign w:val="center"/>
          </w:tcPr>
          <w:p>
            <w:pPr>
              <w:jc w:val="left"/>
              <w:rPr>
                <w:rFonts w:ascii="仿宋" w:hAnsi="仿宋" w:eastAsia="仿宋" w:cs="仿宋"/>
                <w:sz w:val="24"/>
                <w:szCs w:val="24"/>
                <w:highlight w:val="none"/>
              </w:rPr>
            </w:pPr>
          </w:p>
        </w:tc>
        <w:tc>
          <w:tcPr>
            <w:tcW w:w="1964" w:type="dxa"/>
            <w:vAlign w:val="center"/>
          </w:tcPr>
          <w:p>
            <w:pPr>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80" w:type="dxa"/>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084" w:type="dxa"/>
            <w:vAlign w:val="center"/>
          </w:tcPr>
          <w:p>
            <w:pPr>
              <w:adjustRightInd w:val="0"/>
              <w:snapToGrid w:val="0"/>
              <w:jc w:val="left"/>
              <w:rPr>
                <w:rFonts w:ascii="仿宋" w:hAnsi="仿宋" w:eastAsia="仿宋" w:cs="仿宋"/>
                <w:b/>
                <w:sz w:val="24"/>
                <w:szCs w:val="24"/>
                <w:highlight w:val="none"/>
              </w:rPr>
            </w:pPr>
          </w:p>
        </w:tc>
        <w:tc>
          <w:tcPr>
            <w:tcW w:w="1033" w:type="dxa"/>
            <w:vAlign w:val="center"/>
          </w:tcPr>
          <w:p>
            <w:pPr>
              <w:adjustRightInd w:val="0"/>
              <w:snapToGrid w:val="0"/>
              <w:spacing w:line="360" w:lineRule="auto"/>
              <w:jc w:val="left"/>
              <w:rPr>
                <w:rFonts w:ascii="仿宋" w:hAnsi="仿宋" w:eastAsia="仿宋" w:cs="仿宋"/>
                <w:sz w:val="24"/>
                <w:szCs w:val="24"/>
                <w:highlight w:val="none"/>
              </w:rPr>
            </w:pPr>
          </w:p>
        </w:tc>
        <w:tc>
          <w:tcPr>
            <w:tcW w:w="1252" w:type="dxa"/>
            <w:vAlign w:val="center"/>
          </w:tcPr>
          <w:p>
            <w:pPr>
              <w:adjustRightInd w:val="0"/>
              <w:snapToGrid w:val="0"/>
              <w:spacing w:line="360" w:lineRule="auto"/>
              <w:jc w:val="left"/>
              <w:rPr>
                <w:rFonts w:ascii="仿宋" w:hAnsi="仿宋" w:eastAsia="仿宋" w:cs="仿宋"/>
                <w:sz w:val="24"/>
                <w:szCs w:val="24"/>
                <w:highlight w:val="none"/>
              </w:rPr>
            </w:pPr>
          </w:p>
        </w:tc>
        <w:tc>
          <w:tcPr>
            <w:tcW w:w="639" w:type="dxa"/>
            <w:vAlign w:val="center"/>
          </w:tcPr>
          <w:p>
            <w:pPr>
              <w:adjustRightInd w:val="0"/>
              <w:snapToGrid w:val="0"/>
              <w:spacing w:line="360" w:lineRule="auto"/>
              <w:jc w:val="left"/>
              <w:rPr>
                <w:rFonts w:ascii="仿宋" w:hAnsi="仿宋" w:eastAsia="仿宋" w:cs="仿宋"/>
                <w:sz w:val="24"/>
                <w:szCs w:val="24"/>
                <w:highlight w:val="none"/>
              </w:rPr>
            </w:pPr>
          </w:p>
        </w:tc>
        <w:tc>
          <w:tcPr>
            <w:tcW w:w="615" w:type="dxa"/>
            <w:vAlign w:val="center"/>
          </w:tcPr>
          <w:p>
            <w:pPr>
              <w:adjustRightInd w:val="0"/>
              <w:snapToGrid w:val="0"/>
              <w:spacing w:line="360" w:lineRule="auto"/>
              <w:jc w:val="left"/>
              <w:rPr>
                <w:rFonts w:ascii="仿宋" w:hAnsi="仿宋" w:eastAsia="仿宋" w:cs="仿宋"/>
                <w:sz w:val="24"/>
                <w:szCs w:val="24"/>
                <w:highlight w:val="none"/>
              </w:rPr>
            </w:pPr>
          </w:p>
        </w:tc>
        <w:tc>
          <w:tcPr>
            <w:tcW w:w="1016" w:type="dxa"/>
            <w:vAlign w:val="center"/>
          </w:tcPr>
          <w:p>
            <w:pPr>
              <w:jc w:val="left"/>
              <w:rPr>
                <w:rFonts w:ascii="仿宋" w:hAnsi="仿宋" w:eastAsia="仿宋" w:cs="仿宋"/>
                <w:sz w:val="24"/>
                <w:szCs w:val="24"/>
                <w:highlight w:val="none"/>
              </w:rPr>
            </w:pPr>
          </w:p>
        </w:tc>
        <w:tc>
          <w:tcPr>
            <w:tcW w:w="1964" w:type="dxa"/>
            <w:vAlign w:val="center"/>
          </w:tcPr>
          <w:p>
            <w:pPr>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083" w:type="dxa"/>
            <w:gridSpan w:val="8"/>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人民币（大写）合计：    元整</w:t>
            </w:r>
          </w:p>
        </w:tc>
      </w:tr>
    </w:tbl>
    <w:p>
      <w:pPr>
        <w:jc w:val="left"/>
        <w:rPr>
          <w:rFonts w:ascii="仿宋" w:hAnsi="仿宋" w:eastAsia="仿宋" w:cs="仿宋"/>
          <w:b/>
          <w:sz w:val="24"/>
          <w:szCs w:val="24"/>
          <w:highlight w:val="none"/>
        </w:rPr>
      </w:pPr>
      <w:r>
        <w:rPr>
          <w:rFonts w:hint="eastAsia" w:ascii="仿宋" w:hAnsi="仿宋" w:eastAsia="仿宋" w:cs="仿宋"/>
          <w:b/>
          <w:sz w:val="24"/>
          <w:szCs w:val="24"/>
          <w:highlight w:val="none"/>
        </w:rPr>
        <w:t xml:space="preserve">   2022年</w:t>
      </w:r>
      <w:r>
        <w:rPr>
          <w:rFonts w:hint="eastAsia" w:ascii="仿宋" w:hAnsi="仿宋" w:eastAsia="仿宋" w:cs="仿宋"/>
          <w:kern w:val="1"/>
          <w:sz w:val="24"/>
          <w:szCs w:val="24"/>
          <w:highlight w:val="none"/>
          <w:u w:val="single"/>
        </w:rPr>
        <w:t xml:space="preserve"> </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rPr>
        <w:t xml:space="preserve"> </w:t>
      </w:r>
      <w:r>
        <w:rPr>
          <w:rFonts w:hint="eastAsia" w:ascii="仿宋" w:hAnsi="仿宋" w:eastAsia="仿宋" w:cs="仿宋"/>
          <w:kern w:val="1"/>
          <w:sz w:val="24"/>
          <w:szCs w:val="24"/>
          <w:highlight w:val="none"/>
        </w:rPr>
        <w:t>日</w:t>
      </w:r>
      <w:r>
        <w:rPr>
          <w:rFonts w:hint="eastAsia" w:ascii="仿宋" w:hAnsi="仿宋" w:eastAsia="仿宋" w:cs="仿宋"/>
          <w:b/>
          <w:sz w:val="24"/>
          <w:szCs w:val="24"/>
          <w:highlight w:val="none"/>
        </w:rPr>
        <w:t>前安装调试完成。</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二、质量要求技术标准，供方对质量负责的条件和期限：</w:t>
      </w:r>
      <w:r>
        <w:rPr>
          <w:rFonts w:hint="eastAsia" w:ascii="仿宋" w:hAnsi="仿宋" w:eastAsia="仿宋" w:cs="仿宋"/>
          <w:sz w:val="24"/>
          <w:szCs w:val="24"/>
          <w:highlight w:val="none"/>
          <w:u w:val="single"/>
        </w:rPr>
        <w:t xml:space="preserve">  按国家此类产品质量标准和双方招投标文件约定执行，免费质保期5年，免费保修时间从验收合格之日起计算。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三、交（提）货地点方式：</w:t>
      </w:r>
      <w:r>
        <w:rPr>
          <w:rFonts w:hint="eastAsia" w:ascii="仿宋" w:hAnsi="仿宋" w:eastAsia="仿宋" w:cs="仿宋"/>
          <w:sz w:val="24"/>
          <w:szCs w:val="24"/>
          <w:highlight w:val="none"/>
          <w:u w:val="single"/>
        </w:rPr>
        <w:t xml:space="preserve">  中国石油大学（华东）古镇口校区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四、运输方式、到达港及费用负担：</w:t>
      </w:r>
      <w:r>
        <w:rPr>
          <w:rFonts w:hint="eastAsia" w:ascii="仿宋" w:hAnsi="仿宋" w:eastAsia="仿宋" w:cs="仿宋"/>
          <w:sz w:val="24"/>
          <w:szCs w:val="24"/>
          <w:highlight w:val="none"/>
          <w:u w:val="single"/>
        </w:rPr>
        <w:t xml:space="preserve">  汽车运输，费用由供方承担；设备全部到货后供方需向国有资产与实验室管理处设备管理科提供双方签字确认的到货单。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五、包装标准、包装物的供应与回收：</w:t>
      </w:r>
      <w:r>
        <w:rPr>
          <w:rFonts w:hint="eastAsia" w:ascii="仿宋" w:hAnsi="仿宋" w:eastAsia="仿宋" w:cs="仿宋"/>
          <w:sz w:val="24"/>
          <w:szCs w:val="24"/>
          <w:highlight w:val="none"/>
          <w:u w:val="single"/>
        </w:rPr>
        <w:t xml:space="preserve"> 按国家相关标准进行包装，包装物不回收。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六、验收标准、方法及提出异议期：</w:t>
      </w:r>
      <w:r>
        <w:rPr>
          <w:rFonts w:hint="eastAsia" w:ascii="仿宋" w:hAnsi="仿宋" w:eastAsia="仿宋" w:cs="仿宋"/>
          <w:sz w:val="24"/>
          <w:szCs w:val="24"/>
          <w:highlight w:val="none"/>
          <w:u w:val="single"/>
        </w:rPr>
        <w:t xml:space="preserve"> 按国家标准和双方招投标文件及具体技术约定执行，样品封存，参照样品质量标准验收，如供方未按合同执行，除扣除其保证金外，按双方招投标文件具体约定进行处理；需方收到设备，且供方安装调试完毕具备验收条件后15个工作日内验收，供方产品如有异议需在7日内提出。</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七、随机备品、配件工具数量及供应办法：</w:t>
      </w:r>
      <w:r>
        <w:rPr>
          <w:rFonts w:hint="eastAsia" w:ascii="仿宋" w:hAnsi="仿宋" w:eastAsia="仿宋" w:cs="仿宋"/>
          <w:sz w:val="24"/>
          <w:szCs w:val="24"/>
          <w:highlight w:val="none"/>
          <w:u w:val="single"/>
        </w:rPr>
        <w:t xml:space="preserve">  按具体约定提供。                         </w:t>
      </w:r>
    </w:p>
    <w:p>
      <w:pPr>
        <w:widowControl/>
        <w:tabs>
          <w:tab w:val="left" w:pos="0"/>
        </w:tabs>
        <w:spacing w:line="400" w:lineRule="atLeast"/>
        <w:ind w:left="2"/>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八、结算方式及期限</w:t>
      </w:r>
      <w:r>
        <w:rPr>
          <w:rFonts w:hint="eastAsia" w:ascii="仿宋" w:hAnsi="仿宋" w:eastAsia="仿宋" w:cs="仿宋"/>
          <w:sz w:val="24"/>
          <w:szCs w:val="24"/>
          <w:highlight w:val="none"/>
          <w:u w:val="single"/>
        </w:rPr>
        <w:t>：本项目设备全部到货、安装并验收合格后30日内供方开具全额合同货款发票，凭用户签字、国有资产管理处盖章的验收单支付合同货款的90%；其余10%款项为质保金，验收合格一年后视产品质量及服务情况，支付尾款。</w:t>
      </w:r>
    </w:p>
    <w:p>
      <w:pPr>
        <w:widowControl/>
        <w:wordWrap w:val="0"/>
        <w:spacing w:line="400" w:lineRule="atLeast"/>
        <w:ind w:left="1270" w:hanging="1270" w:hangingChars="527"/>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九、如需提供担保，另立合同担保书，作为本合同附件：</w:t>
      </w:r>
      <w:r>
        <w:rPr>
          <w:rFonts w:hint="eastAsia" w:ascii="仿宋" w:hAnsi="仿宋" w:eastAsia="仿宋" w:cs="仿宋"/>
          <w:sz w:val="24"/>
          <w:szCs w:val="24"/>
          <w:highlight w:val="none"/>
          <w:u w:val="single"/>
        </w:rPr>
        <w:t xml:space="preserve">  无。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十、其他约定事项：</w:t>
      </w:r>
      <w:r>
        <w:rPr>
          <w:rFonts w:hint="eastAsia" w:ascii="仿宋" w:hAnsi="仿宋" w:eastAsia="仿宋" w:cs="仿宋"/>
          <w:bCs/>
          <w:sz w:val="24"/>
          <w:szCs w:val="24"/>
          <w:highlight w:val="none"/>
          <w:u w:val="single"/>
        </w:rPr>
        <w:t xml:space="preserve"> </w:t>
      </w:r>
      <w:r>
        <w:rPr>
          <w:rFonts w:hint="eastAsia" w:ascii="仿宋" w:hAnsi="仿宋" w:eastAsia="仿宋" w:cs="仿宋"/>
          <w:sz w:val="24"/>
          <w:szCs w:val="24"/>
          <w:highlight w:val="none"/>
          <w:u w:val="single"/>
        </w:rPr>
        <w:t>违约责任由违约方承担，双方协商解决或按国家有关法规处理；</w:t>
      </w:r>
      <w:r>
        <w:rPr>
          <w:rFonts w:hint="eastAsia" w:ascii="仿宋" w:hAnsi="仿宋" w:eastAsia="仿宋" w:cs="仿宋"/>
          <w:bCs/>
          <w:sz w:val="24"/>
          <w:szCs w:val="24"/>
          <w:highlight w:val="none"/>
          <w:u w:val="single"/>
        </w:rPr>
        <w:t>本合同一式柒份，需方五份，供方两份，</w:t>
      </w:r>
      <w:r>
        <w:rPr>
          <w:rFonts w:hint="eastAsia" w:ascii="仿宋" w:hAnsi="仿宋" w:eastAsia="仿宋" w:cs="仿宋"/>
          <w:sz w:val="24"/>
          <w:szCs w:val="24"/>
          <w:highlight w:val="none"/>
          <w:u w:val="single"/>
        </w:rPr>
        <w:t xml:space="preserve">双方签字并盖章后生效。需方针对本项目招标文件及供方针对本项目的应标文件作为合同附件。 </w:t>
      </w:r>
    </w:p>
    <w:tbl>
      <w:tblPr>
        <w:tblStyle w:val="36"/>
        <w:tblpPr w:leftFromText="180" w:rightFromText="180" w:vertAnchor="text" w:horzAnchor="margin" w:tblpY="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9" w:hRule="atLeast"/>
        </w:trPr>
        <w:tc>
          <w:tcPr>
            <w:tcW w:w="4264" w:type="dxa"/>
          </w:tcPr>
          <w:p>
            <w:pPr>
              <w:spacing w:line="36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需       方</w:t>
            </w:r>
          </w:p>
          <w:p>
            <w:pPr>
              <w:spacing w:line="360" w:lineRule="exact"/>
              <w:ind w:left="1680" w:hanging="1680" w:hangingChars="700"/>
              <w:jc w:val="left"/>
              <w:rPr>
                <w:rFonts w:ascii="仿宋" w:hAnsi="仿宋" w:eastAsia="仿宋" w:cs="仿宋"/>
                <w:sz w:val="24"/>
                <w:szCs w:val="24"/>
                <w:highlight w:val="none"/>
              </w:rPr>
            </w:pPr>
            <w:r>
              <w:rPr>
                <w:rFonts w:hint="eastAsia" w:ascii="仿宋" w:hAnsi="仿宋" w:eastAsia="仿宋" w:cs="仿宋"/>
                <w:sz w:val="24"/>
                <w:szCs w:val="24"/>
                <w:highlight w:val="none"/>
              </w:rPr>
              <w:t>单位名称（章）：中国石油大学（华东）</w:t>
            </w:r>
          </w:p>
          <w:p>
            <w:pPr>
              <w:spacing w:line="360" w:lineRule="exact"/>
              <w:ind w:left="1200" w:hanging="1200" w:hangingChars="500"/>
              <w:jc w:val="left"/>
              <w:rPr>
                <w:rFonts w:ascii="仿宋" w:hAnsi="仿宋" w:eastAsia="仿宋" w:cs="仿宋"/>
                <w:sz w:val="24"/>
                <w:szCs w:val="24"/>
                <w:highlight w:val="none"/>
              </w:rPr>
            </w:pPr>
            <w:r>
              <w:rPr>
                <w:rFonts w:hint="eastAsia" w:ascii="仿宋" w:hAnsi="仿宋" w:eastAsia="仿宋" w:cs="仿宋"/>
                <w:sz w:val="24"/>
                <w:szCs w:val="24"/>
                <w:highlight w:val="none"/>
              </w:rPr>
              <w:t>单位地址：青岛市黄岛区长江西路66号</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委托代理人：</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电    话：0532-86981607</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开 户 名：中国石油大学(华东) </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开户银行：中国银行股份有限公司西海岸新区分行</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账    号：215604391524</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邮政编码：266580</w:t>
            </w:r>
          </w:p>
        </w:tc>
        <w:tc>
          <w:tcPr>
            <w:tcW w:w="4819" w:type="dxa"/>
          </w:tcPr>
          <w:p>
            <w:pPr>
              <w:spacing w:line="36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供      方</w:t>
            </w:r>
          </w:p>
          <w:p>
            <w:pPr>
              <w:spacing w:line="360" w:lineRule="exact"/>
              <w:ind w:left="1680" w:hanging="1680" w:hangingChars="700"/>
              <w:jc w:val="left"/>
              <w:rPr>
                <w:rFonts w:ascii="仿宋" w:hAnsi="仿宋" w:eastAsia="仿宋" w:cs="仿宋"/>
                <w:kern w:val="0"/>
                <w:sz w:val="24"/>
                <w:szCs w:val="24"/>
                <w:highlight w:val="none"/>
              </w:rPr>
            </w:pPr>
            <w:r>
              <w:rPr>
                <w:rFonts w:hint="eastAsia" w:ascii="仿宋" w:hAnsi="仿宋" w:eastAsia="仿宋" w:cs="仿宋"/>
                <w:sz w:val="24"/>
                <w:szCs w:val="24"/>
                <w:highlight w:val="none"/>
              </w:rPr>
              <w:t>单位名称（章）：</w:t>
            </w:r>
            <w:r>
              <w:rPr>
                <w:rFonts w:hint="eastAsia" w:ascii="仿宋" w:hAnsi="仿宋" w:eastAsia="仿宋" w:cs="仿宋"/>
                <w:kern w:val="0"/>
                <w:sz w:val="24"/>
                <w:szCs w:val="24"/>
                <w:highlight w:val="none"/>
              </w:rPr>
              <w:t xml:space="preserve"> </w:t>
            </w:r>
          </w:p>
          <w:p>
            <w:pPr>
              <w:spacing w:line="360" w:lineRule="exact"/>
              <w:ind w:left="960" w:hanging="960" w:hangingChars="400"/>
              <w:jc w:val="left"/>
              <w:rPr>
                <w:rFonts w:ascii="仿宋" w:hAnsi="仿宋" w:eastAsia="仿宋" w:cs="仿宋"/>
                <w:sz w:val="24"/>
                <w:szCs w:val="24"/>
                <w:highlight w:val="none"/>
              </w:rPr>
            </w:pPr>
            <w:r>
              <w:rPr>
                <w:rFonts w:hint="eastAsia" w:ascii="仿宋" w:hAnsi="仿宋" w:eastAsia="仿宋" w:cs="仿宋"/>
                <w:sz w:val="24"/>
                <w:szCs w:val="24"/>
                <w:highlight w:val="none"/>
              </w:rPr>
              <w:t>单位地址：</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委托代理人：</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电    话：</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开户银行：</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账    号： </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邮政编码：</w:t>
            </w:r>
          </w:p>
        </w:tc>
      </w:tr>
    </w:tbl>
    <w:p>
      <w:pPr>
        <w:spacing w:line="520" w:lineRule="exact"/>
        <w:jc w:val="left"/>
        <w:rPr>
          <w:rFonts w:ascii="仿宋" w:hAnsi="仿宋" w:eastAsia="仿宋" w:cs="仿宋"/>
          <w:sz w:val="36"/>
          <w:szCs w:val="36"/>
          <w:highlight w:val="none"/>
        </w:rPr>
      </w:pPr>
      <w:bookmarkStart w:id="80" w:name="_Toc325620723"/>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ind w:firstLine="2349" w:firstLineChars="650"/>
        <w:jc w:val="left"/>
        <w:rPr>
          <w:rFonts w:ascii="仿宋" w:hAnsi="仿宋" w:eastAsia="仿宋" w:cs="仿宋"/>
          <w:b/>
          <w:kern w:val="0"/>
          <w:sz w:val="36"/>
          <w:szCs w:val="36"/>
          <w:highlight w:val="none"/>
        </w:rPr>
      </w:pPr>
    </w:p>
    <w:p>
      <w:pPr>
        <w:spacing w:line="520" w:lineRule="exact"/>
        <w:ind w:firstLine="2349" w:firstLineChars="650"/>
        <w:jc w:val="left"/>
        <w:rPr>
          <w:rFonts w:ascii="仿宋" w:hAnsi="仿宋" w:eastAsia="仿宋" w:cs="仿宋"/>
          <w:b/>
          <w:kern w:val="0"/>
          <w:sz w:val="36"/>
          <w:szCs w:val="36"/>
          <w:highlight w:val="none"/>
        </w:rPr>
      </w:pPr>
    </w:p>
    <w:p>
      <w:pPr>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pStyle w:val="3"/>
        <w:ind w:firstLine="3408" w:firstLineChars="943"/>
        <w:jc w:val="left"/>
        <w:rPr>
          <w:rFonts w:ascii="仿宋" w:hAnsi="仿宋" w:eastAsia="仿宋" w:cs="仿宋"/>
          <w:sz w:val="24"/>
          <w:szCs w:val="24"/>
          <w:highlight w:val="none"/>
        </w:rPr>
      </w:pPr>
      <w:bookmarkStart w:id="81" w:name="_Toc10225"/>
      <w:r>
        <w:rPr>
          <w:rFonts w:hint="eastAsia" w:ascii="仿宋" w:hAnsi="仿宋" w:eastAsia="仿宋" w:cs="仿宋"/>
          <w:sz w:val="36"/>
          <w:szCs w:val="36"/>
          <w:highlight w:val="none"/>
        </w:rPr>
        <w:t>第五部分 用户需求</w:t>
      </w:r>
      <w:bookmarkEnd w:id="80"/>
      <w:r>
        <w:rPr>
          <w:rFonts w:hint="eastAsia" w:ascii="仿宋" w:hAnsi="仿宋" w:eastAsia="仿宋" w:cs="仿宋"/>
          <w:sz w:val="36"/>
          <w:szCs w:val="36"/>
          <w:highlight w:val="none"/>
        </w:rPr>
        <w:t>书</w:t>
      </w:r>
      <w:bookmarkEnd w:id="81"/>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特别说明：</w:t>
      </w:r>
      <w:r>
        <w:rPr>
          <w:rFonts w:hint="eastAsia" w:ascii="仿宋" w:hAnsi="仿宋" w:eastAsia="仿宋" w:cs="仿宋"/>
          <w:sz w:val="24"/>
          <w:highlight w:val="none"/>
        </w:rPr>
        <w:t>本招标文件的用户需求书中，最关键技术指标、服务条款或商务要求用“</w:t>
      </w:r>
      <w:r>
        <w:rPr>
          <w:rFonts w:hint="eastAsia" w:ascii="仿宋" w:hAnsi="仿宋" w:eastAsia="仿宋" w:cs="仿宋"/>
          <w:b/>
          <w:sz w:val="21"/>
          <w:szCs w:val="21"/>
          <w:highlight w:val="none"/>
        </w:rPr>
        <w:t>★</w:t>
      </w:r>
      <w:r>
        <w:rPr>
          <w:rFonts w:hint="eastAsia" w:ascii="仿宋" w:hAnsi="仿宋" w:eastAsia="仿宋" w:cs="仿宋"/>
          <w:sz w:val="24"/>
          <w:highlight w:val="none"/>
        </w:rPr>
        <w:t>”标注，投标人必须完全满足或优于这些要求，若有1项未满足或存在负偏离，将按投标无效处理。重要的技术、服务条款或商务要求用“*”标注,无标识则表示一般指标项。付款方式、交货时间和质保期限不得负偏离，否则按投标无效处理。核心产品用“●”标注。需提供样品的产品用“</w:t>
      </w:r>
      <w:r>
        <w:rPr>
          <w:rFonts w:hint="eastAsia" w:ascii="仿宋" w:hAnsi="仿宋" w:eastAsia="仿宋" w:cs="仿宋"/>
          <w:sz w:val="24"/>
          <w:szCs w:val="24"/>
          <w:highlight w:val="none"/>
        </w:rPr>
        <w:t>※</w:t>
      </w:r>
      <w:r>
        <w:rPr>
          <w:rFonts w:hint="eastAsia" w:ascii="仿宋" w:hAnsi="仿宋" w:eastAsia="仿宋" w:cs="仿宋"/>
          <w:sz w:val="24"/>
          <w:highlight w:val="none"/>
        </w:rPr>
        <w:t>”标注。</w:t>
      </w:r>
    </w:p>
    <w:p>
      <w:pPr>
        <w:pStyle w:val="4"/>
        <w:spacing w:line="240" w:lineRule="auto"/>
        <w:rPr>
          <w:rFonts w:ascii="仿宋" w:hAnsi="仿宋" w:eastAsia="仿宋" w:cs="仿宋"/>
          <w:sz w:val="24"/>
          <w:szCs w:val="24"/>
          <w:highlight w:val="none"/>
        </w:rPr>
      </w:pPr>
      <w:bookmarkStart w:id="82" w:name="_Toc10648"/>
      <w:r>
        <w:rPr>
          <w:rFonts w:hint="eastAsia" w:ascii="仿宋" w:hAnsi="仿宋" w:eastAsia="仿宋" w:cs="仿宋"/>
          <w:sz w:val="28"/>
          <w:szCs w:val="28"/>
          <w:highlight w:val="none"/>
        </w:rPr>
        <w:t>一、</w:t>
      </w:r>
      <w:r>
        <w:rPr>
          <w:rFonts w:hint="eastAsia" w:ascii="仿宋" w:hAnsi="仿宋" w:eastAsia="仿宋" w:cs="仿宋"/>
          <w:sz w:val="24"/>
          <w:szCs w:val="24"/>
          <w:highlight w:val="none"/>
        </w:rPr>
        <w:t>招标产品技术规格、要求和数量（包括附件、图纸等）</w:t>
      </w:r>
      <w:bookmarkEnd w:id="82"/>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（一）有关要求</w:t>
      </w: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1.1产品</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投标人须按国家标准执行，为采购人提供优质产品，保证所提供的产品属环保产品，符合国家标准、行业标准、地方标准或者其他标准、规范，中标人供货时应当提供有关货物的环保及合格证明材料等。产品以安装完成后成品形势进行验收，验收前产品在运输、搬运、安装过程中产生的损失和由此产生的费用均由中标人承担。投标人应保证货物是全新、未使用过的合格产品。并完全符合合同规定的质量、规格和性能的要求。中标人应保证所提供的货物经正确安装、正常运转和保养后，在其使用寿命期内应具有满意的性能。在货物质量保证期内中标人应对由于设计、工艺或者材料的缺陷而发生的任何不足或者故障负责。</w:t>
      </w: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1.2供货要求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（1）投标人在确认中标后，应按照采购人指定的时间、地点，派遣其授权代表与采购人签署合同。</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（2）因采购人原因导致中标人未能按期开工或者未按约定完工，影响工期，工期顺延。</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（3）因中标人原因未能按时开工或中途无故停工，影响工期，工期不顺延。</w:t>
      </w: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1.3样品送样要求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本项目要求提交投标样品，供应商应在提交投标文件截止时间前将投标样品提交到招标单位指定地点，迟于提交投标文件截止时间提交的投标样品，代理机构不予收取（样品递交事宜详见《投标人须知前附表》，样品中途如有损坏招标单位概不负责）。</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（2）没有按要求提供的样品代理机构不予接收。</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（3）代理机构在收取样品时没有义务对样品外观验收及性能测试，对样品的破损或质量概不负责。</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招标结束后，中标人的样品由采购人留样直至项目验收，作为履约验收的参考。对于未中标人提供的样品，由于场地空间有限，敬请各有关供应商支持配合，在接到代理机构通知后尽快取回投标品，否则视同供应商不再认领，代理机构有权进行处理。</w:t>
      </w:r>
    </w:p>
    <w:p>
      <w:pPr>
        <w:ind w:firstLine="480" w:firstLineChars="200"/>
        <w:rPr>
          <w:rFonts w:ascii="仿宋" w:hAnsi="仿宋" w:eastAsia="仿宋" w:cs="仿宋"/>
          <w:sz w:val="24"/>
          <w:szCs w:val="24"/>
          <w:highlight w:val="none"/>
          <w:lang w:val="zh-CN"/>
        </w:rPr>
      </w:pPr>
      <w:r>
        <w:rPr>
          <w:rFonts w:hint="eastAsia" w:ascii="仿宋" w:hAnsi="仿宋" w:eastAsia="仿宋" w:cs="仿宋"/>
          <w:sz w:val="24"/>
          <w:szCs w:val="24"/>
          <w:highlight w:val="none"/>
        </w:rPr>
        <w:t>（5）样品的各项技术质量指标标准应符合招标文件要求，提供样品以样品展板及单独送样形式与投标文件同时提交，展板或样品上必须标识项目名称及样品名称</w:t>
      </w:r>
      <w:r>
        <w:rPr>
          <w:rFonts w:hint="eastAsia" w:ascii="仿宋" w:hAnsi="仿宋" w:eastAsia="仿宋" w:cs="仿宋"/>
          <w:sz w:val="24"/>
          <w:szCs w:val="24"/>
          <w:highlight w:val="none"/>
          <w:lang w:val="zh-CN"/>
        </w:rPr>
        <w:t>。</w:t>
      </w:r>
    </w:p>
    <w:p>
      <w:pPr>
        <w:pStyle w:val="2"/>
        <w:ind w:firstLine="480" w:firstLineChars="200"/>
        <w:jc w:val="left"/>
        <w:rPr>
          <w:rFonts w:ascii="仿宋" w:hAnsi="仿宋" w:eastAsia="仿宋" w:cs="仿宋"/>
          <w:b/>
          <w:bCs/>
          <w:i/>
          <w:iCs/>
          <w:sz w:val="24"/>
          <w:szCs w:val="24"/>
          <w:highlight w:val="none"/>
          <w:lang w:val="zh-CN"/>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6</w:t>
      </w:r>
      <w:r>
        <w:rPr>
          <w:rFonts w:hint="eastAsia" w:ascii="仿宋" w:hAnsi="仿宋" w:eastAsia="仿宋" w:cs="仿宋"/>
          <w:sz w:val="24"/>
          <w:szCs w:val="24"/>
          <w:highlight w:val="none"/>
          <w:lang w:val="zh-CN"/>
        </w:rPr>
        <w:t>）样品封样：封样样品应加贴封样标签，由投标人在封样标签上盖章并由授权代表签字，并应符合招标人的其他封样要求。</w:t>
      </w:r>
    </w:p>
    <w:p>
      <w:pPr>
        <w:pStyle w:val="2"/>
        <w:ind w:firstLine="480" w:firstLineChars="200"/>
        <w:jc w:val="left"/>
        <w:rPr>
          <w:rFonts w:ascii="仿宋" w:hAnsi="仿宋" w:eastAsia="仿宋" w:cs="仿宋"/>
          <w:b/>
          <w:bCs/>
          <w:i/>
          <w:iCs/>
          <w:sz w:val="24"/>
          <w:szCs w:val="24"/>
          <w:highlight w:val="none"/>
          <w:lang w:val="zh-CN"/>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7</w:t>
      </w:r>
      <w:r>
        <w:rPr>
          <w:rFonts w:hint="eastAsia" w:ascii="仿宋" w:hAnsi="仿宋" w:eastAsia="仿宋" w:cs="仿宋"/>
          <w:sz w:val="24"/>
          <w:szCs w:val="24"/>
          <w:highlight w:val="none"/>
          <w:lang w:val="zh-CN"/>
        </w:rPr>
        <w:t>）招标人保留进一步修改产品类型、规格尺寸、颜色、数量、功能等要求的权利。</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（8）样品具体要求</w:t>
      </w:r>
    </w:p>
    <w:p>
      <w:pPr>
        <w:pStyle w:val="2"/>
        <w:rPr>
          <w:rFonts w:ascii="仿宋" w:hAnsi="仿宋" w:eastAsia="仿宋" w:cs="仿宋"/>
          <w:sz w:val="24"/>
          <w:szCs w:val="24"/>
          <w:highlight w:val="none"/>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0"/>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0" w:type="dxa"/>
            <w:vAlign w:val="center"/>
          </w:tcPr>
          <w:p>
            <w:pPr>
              <w:pStyle w:val="2"/>
              <w:jc w:val="center"/>
              <w:rPr>
                <w:rFonts w:ascii="仿宋" w:hAnsi="仿宋" w:eastAsia="仿宋" w:cs="仿宋"/>
                <w:b/>
                <w:bCs/>
                <w:i/>
                <w:iCs/>
                <w:sz w:val="24"/>
                <w:szCs w:val="24"/>
                <w:highlight w:val="none"/>
              </w:rPr>
            </w:pPr>
            <w:r>
              <w:rPr>
                <w:rFonts w:hint="eastAsia" w:ascii="仿宋" w:hAnsi="仿宋" w:eastAsia="仿宋" w:cs="仿宋"/>
                <w:sz w:val="24"/>
                <w:szCs w:val="24"/>
                <w:highlight w:val="none"/>
              </w:rPr>
              <w:t>送样项目</w:t>
            </w:r>
          </w:p>
        </w:tc>
        <w:tc>
          <w:tcPr>
            <w:tcW w:w="2224" w:type="dxa"/>
            <w:vAlign w:val="center"/>
          </w:tcPr>
          <w:p>
            <w:pPr>
              <w:pStyle w:val="2"/>
              <w:jc w:val="center"/>
              <w:rPr>
                <w:rFonts w:ascii="仿宋" w:hAnsi="仿宋" w:eastAsia="仿宋" w:cs="仿宋"/>
                <w:b/>
                <w:bCs/>
                <w:i/>
                <w:iCs/>
                <w:sz w:val="24"/>
                <w:szCs w:val="24"/>
                <w:highlight w:val="none"/>
              </w:rPr>
            </w:pPr>
            <w:r>
              <w:rPr>
                <w:rFonts w:hint="eastAsia" w:ascii="仿宋" w:hAnsi="仿宋" w:eastAsia="仿宋" w:cs="仿宋"/>
                <w:sz w:val="24"/>
                <w:szCs w:val="24"/>
                <w:highlight w:val="none"/>
              </w:rPr>
              <w:t>要求（送样）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0" w:type="dxa"/>
            <w:vAlign w:val="center"/>
          </w:tcPr>
          <w:p>
            <w:pPr>
              <w:pStyle w:val="2"/>
              <w:jc w:val="center"/>
              <w:rPr>
                <w:rFonts w:ascii="仿宋" w:hAnsi="仿宋" w:eastAsia="仿宋" w:cs="仿宋"/>
                <w:bCs/>
                <w:iCs/>
                <w:sz w:val="24"/>
                <w:szCs w:val="24"/>
                <w:highlight w:val="none"/>
              </w:rPr>
            </w:pPr>
            <w:r>
              <w:rPr>
                <w:rFonts w:hint="eastAsia" w:ascii="仿宋" w:hAnsi="仿宋" w:eastAsia="仿宋" w:cs="仿宋"/>
                <w:bCs/>
                <w:iCs/>
                <w:sz w:val="24"/>
                <w:szCs w:val="24"/>
                <w:highlight w:val="none"/>
              </w:rPr>
              <w:t>衣柜、床（含铺板）、床头柜、席梦思床垫、电视柜</w:t>
            </w:r>
          </w:p>
        </w:tc>
        <w:tc>
          <w:tcPr>
            <w:tcW w:w="2224" w:type="dxa"/>
            <w:vAlign w:val="center"/>
          </w:tcPr>
          <w:p>
            <w:pPr>
              <w:pStyle w:val="2"/>
              <w:jc w:val="center"/>
              <w:rPr>
                <w:rFonts w:ascii="仿宋" w:hAnsi="仿宋" w:eastAsia="仿宋" w:cs="仿宋"/>
                <w:bCs/>
                <w:iCs/>
                <w:sz w:val="24"/>
                <w:szCs w:val="24"/>
                <w:highlight w:val="none"/>
              </w:rPr>
            </w:pPr>
            <w:r>
              <w:rPr>
                <w:rFonts w:hint="eastAsia" w:ascii="仿宋" w:hAnsi="仿宋" w:eastAsia="仿宋" w:cs="仿宋"/>
                <w:bCs/>
                <w:iCs/>
                <w:sz w:val="24"/>
                <w:szCs w:val="24"/>
                <w:highlight w:val="none"/>
              </w:rPr>
              <w:t>成品</w:t>
            </w:r>
          </w:p>
        </w:tc>
      </w:tr>
    </w:tbl>
    <w:p>
      <w:pPr>
        <w:rPr>
          <w:rFonts w:ascii="仿宋" w:hAnsi="仿宋" w:eastAsia="仿宋" w:cs="仿宋"/>
          <w:sz w:val="24"/>
          <w:szCs w:val="24"/>
          <w:highlight w:val="none"/>
        </w:rPr>
      </w:pPr>
      <w:r>
        <w:rPr>
          <w:rFonts w:hint="eastAsia" w:ascii="仿宋" w:hAnsi="仿宋" w:eastAsia="仿宋" w:cs="仿宋"/>
          <w:b/>
          <w:sz w:val="24"/>
          <w:szCs w:val="24"/>
          <w:highlight w:val="none"/>
        </w:rPr>
        <w:t>现场允许对样品做破坏性试验，抽查样品所用材料。</w:t>
      </w:r>
    </w:p>
    <w:p>
      <w:pPr>
        <w:pStyle w:val="2"/>
        <w:rPr>
          <w:rFonts w:ascii="仿宋" w:hAnsi="仿宋" w:eastAsia="仿宋" w:cs="仿宋"/>
          <w:sz w:val="24"/>
          <w:szCs w:val="24"/>
          <w:highlight w:val="none"/>
        </w:rPr>
      </w:pPr>
    </w:p>
    <w:p>
      <w:pPr>
        <w:rPr>
          <w:rFonts w:ascii="仿宋" w:hAnsi="仿宋" w:eastAsia="仿宋" w:cs="仿宋"/>
          <w:sz w:val="24"/>
          <w:szCs w:val="24"/>
          <w:highlight w:val="none"/>
        </w:rPr>
      </w:pP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（二）采购清单</w:t>
      </w:r>
      <w:bookmarkStart w:id="83" w:name="_Hlk66360326"/>
    </w:p>
    <w:tbl>
      <w:tblPr>
        <w:tblStyle w:val="36"/>
        <w:tblW w:w="10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061"/>
        <w:gridCol w:w="3688"/>
        <w:gridCol w:w="594"/>
        <w:gridCol w:w="88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061" w:type="dxa"/>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家具名称</w:t>
            </w:r>
          </w:p>
        </w:tc>
        <w:tc>
          <w:tcPr>
            <w:tcW w:w="3688" w:type="dxa"/>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规格尺寸（mm）</w:t>
            </w:r>
          </w:p>
        </w:tc>
        <w:tc>
          <w:tcPr>
            <w:tcW w:w="594" w:type="dxa"/>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单位</w:t>
            </w:r>
          </w:p>
        </w:tc>
        <w:tc>
          <w:tcPr>
            <w:tcW w:w="886" w:type="dxa"/>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2127" w:type="dxa"/>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61"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※衣柜</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长1350×宽600×高2200</w:t>
            </w:r>
          </w:p>
        </w:tc>
        <w:tc>
          <w:tcPr>
            <w:tcW w:w="59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套</w:t>
            </w:r>
          </w:p>
        </w:tc>
        <w:tc>
          <w:tcPr>
            <w:tcW w:w="88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58</w:t>
            </w:r>
          </w:p>
        </w:tc>
        <w:tc>
          <w:tcPr>
            <w:tcW w:w="2127" w:type="dxa"/>
            <w:tcBorders>
              <w:top w:val="single" w:color="auto" w:sz="4" w:space="0"/>
              <w:left w:val="single" w:color="auto" w:sz="4" w:space="0"/>
              <w:bottom w:val="single" w:color="auto" w:sz="4" w:space="0"/>
            </w:tcBorders>
            <w:vAlign w:val="center"/>
          </w:tcPr>
          <w:p>
            <w:pPr>
              <w:overflowPunct w:val="0"/>
              <w:jc w:val="center"/>
              <w:rPr>
                <w:rFonts w:ascii="仿宋" w:hAnsi="仿宋" w:eastAsia="仿宋" w:cs="仿宋"/>
                <w:sz w:val="24"/>
                <w:szCs w:val="24"/>
                <w:highlight w:val="none"/>
              </w:rPr>
            </w:pPr>
            <w:r>
              <w:rPr>
                <w:rFonts w:ascii="仿宋" w:hAnsi="仿宋" w:eastAsia="仿宋" w:cs="仿宋"/>
                <w:sz w:val="24"/>
                <w:szCs w:val="24"/>
                <w:highlight w:val="none"/>
              </w:rPr>
              <w:drawing>
                <wp:inline distT="0" distB="0" distL="0" distR="0">
                  <wp:extent cx="1207770" cy="15557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1207770" cy="15557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061"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※床（含铺板）</w:t>
            </w:r>
          </w:p>
        </w:tc>
        <w:tc>
          <w:tcPr>
            <w:tcW w:w="3688" w:type="dxa"/>
            <w:tcBorders>
              <w:top w:val="single" w:color="auto" w:sz="4" w:space="0"/>
              <w:left w:val="single" w:color="auto" w:sz="4" w:space="0"/>
              <w:bottom w:val="single" w:color="auto" w:sz="4" w:space="0"/>
              <w:right w:val="single" w:color="auto" w:sz="4" w:space="0"/>
            </w:tcBorders>
            <w:vAlign w:val="center"/>
          </w:tcPr>
          <w:p>
            <w:pPr>
              <w:overflowPunct w:val="0"/>
              <w:rPr>
                <w:rFonts w:ascii="仿宋" w:hAnsi="仿宋" w:eastAsia="仿宋" w:cs="仿宋"/>
                <w:sz w:val="24"/>
                <w:szCs w:val="24"/>
                <w:highlight w:val="none"/>
              </w:rPr>
            </w:pPr>
            <w:r>
              <w:rPr>
                <w:rFonts w:hint="eastAsia" w:ascii="仿宋" w:hAnsi="仿宋" w:eastAsia="仿宋" w:cs="仿宋"/>
                <w:sz w:val="24"/>
                <w:szCs w:val="24"/>
                <w:highlight w:val="none"/>
              </w:rPr>
              <w:t>长2000×宽1800×高450</w:t>
            </w:r>
          </w:p>
        </w:tc>
        <w:tc>
          <w:tcPr>
            <w:tcW w:w="59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88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58</w:t>
            </w:r>
          </w:p>
        </w:tc>
        <w:tc>
          <w:tcPr>
            <w:tcW w:w="2127" w:type="dxa"/>
            <w:tcBorders>
              <w:top w:val="single" w:color="auto" w:sz="4" w:space="0"/>
              <w:left w:val="single" w:color="auto" w:sz="4" w:space="0"/>
              <w:bottom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59264" behindDoc="0" locked="0" layoutInCell="1" allowOverlap="1">
                  <wp:simplePos x="0" y="0"/>
                  <wp:positionH relativeFrom="column">
                    <wp:posOffset>-27305</wp:posOffset>
                  </wp:positionH>
                  <wp:positionV relativeFrom="paragraph">
                    <wp:posOffset>162560</wp:posOffset>
                  </wp:positionV>
                  <wp:extent cx="1264285" cy="981075"/>
                  <wp:effectExtent l="0" t="0" r="12065" b="9525"/>
                  <wp:wrapNone/>
                  <wp:docPr id="25" name="图片 25" descr="7eb0efbe4d4697d8e885d5c6225f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eb0efbe4d4697d8e885d5c6225f012"/>
                          <pic:cNvPicPr>
                            <a:picLocks noChangeAspect="1"/>
                          </pic:cNvPicPr>
                        </pic:nvPicPr>
                        <pic:blipFill>
                          <a:blip r:embed="rId11" cstate="print"/>
                          <a:stretch>
                            <a:fillRect/>
                          </a:stretch>
                        </pic:blipFill>
                        <pic:spPr>
                          <a:xfrm>
                            <a:off x="0" y="0"/>
                            <a:ext cx="1264285" cy="9810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2061"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※床头柜</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宽500×厚400×高480</w:t>
            </w:r>
          </w:p>
        </w:tc>
        <w:tc>
          <w:tcPr>
            <w:tcW w:w="59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个</w:t>
            </w:r>
          </w:p>
        </w:tc>
        <w:tc>
          <w:tcPr>
            <w:tcW w:w="88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70</w:t>
            </w:r>
          </w:p>
        </w:tc>
        <w:tc>
          <w:tcPr>
            <w:tcW w:w="2127" w:type="dxa"/>
            <w:tcBorders>
              <w:top w:val="single" w:color="auto" w:sz="4" w:space="0"/>
              <w:left w:val="single" w:color="auto" w:sz="4" w:space="0"/>
              <w:bottom w:val="single" w:color="auto" w:sz="4" w:space="0"/>
            </w:tcBorders>
            <w:vAlign w:val="center"/>
          </w:tcPr>
          <w:p>
            <w:pPr>
              <w:overflowPunct w:val="0"/>
              <w:jc w:val="center"/>
              <w:rPr>
                <w:rFonts w:ascii="仿宋" w:hAnsi="仿宋" w:eastAsia="仿宋" w:cs="仿宋"/>
                <w:sz w:val="24"/>
                <w:szCs w:val="24"/>
                <w:highlight w:val="none"/>
              </w:rPr>
            </w:pPr>
            <w:r>
              <w:rPr>
                <w:rFonts w:ascii="仿宋" w:hAnsi="仿宋" w:eastAsia="仿宋" w:cs="仿宋"/>
                <w:sz w:val="24"/>
                <w:szCs w:val="24"/>
                <w:highlight w:val="none"/>
              </w:rPr>
              <w:drawing>
                <wp:inline distT="0" distB="0" distL="0" distR="0">
                  <wp:extent cx="1214755" cy="1153160"/>
                  <wp:effectExtent l="19050" t="0" r="444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2" cstate="print"/>
                          <a:srcRect/>
                          <a:stretch>
                            <a:fillRect/>
                          </a:stretch>
                        </pic:blipFill>
                        <pic:spPr>
                          <a:xfrm>
                            <a:off x="0" y="0"/>
                            <a:ext cx="1214755" cy="11531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2061"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※席梦思床垫</w:t>
            </w:r>
          </w:p>
        </w:tc>
        <w:tc>
          <w:tcPr>
            <w:tcW w:w="3688" w:type="dxa"/>
            <w:tcBorders>
              <w:top w:val="single" w:color="auto" w:sz="4" w:space="0"/>
              <w:left w:val="single" w:color="auto" w:sz="4" w:space="0"/>
              <w:bottom w:val="single" w:color="auto" w:sz="4" w:space="0"/>
              <w:right w:val="single" w:color="auto" w:sz="4" w:space="0"/>
            </w:tcBorders>
            <w:vAlign w:val="center"/>
          </w:tcPr>
          <w:p>
            <w:pPr>
              <w:overflowPunct w:val="0"/>
              <w:rPr>
                <w:rFonts w:ascii="仿宋" w:hAnsi="仿宋" w:eastAsia="仿宋" w:cs="仿宋"/>
                <w:sz w:val="24"/>
                <w:szCs w:val="24"/>
                <w:highlight w:val="none"/>
              </w:rPr>
            </w:pPr>
            <w:r>
              <w:rPr>
                <w:rFonts w:hint="eastAsia" w:ascii="仿宋" w:hAnsi="仿宋" w:eastAsia="仿宋" w:cs="仿宋"/>
                <w:sz w:val="24"/>
                <w:szCs w:val="24"/>
                <w:highlight w:val="none"/>
              </w:rPr>
              <w:t>长2000×宽1800×高200</w:t>
            </w:r>
          </w:p>
        </w:tc>
        <w:tc>
          <w:tcPr>
            <w:tcW w:w="59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88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58</w:t>
            </w:r>
          </w:p>
        </w:tc>
        <w:tc>
          <w:tcPr>
            <w:tcW w:w="2127" w:type="dxa"/>
            <w:tcBorders>
              <w:top w:val="single" w:color="auto" w:sz="4" w:space="0"/>
              <w:left w:val="single" w:color="auto" w:sz="4" w:space="0"/>
              <w:bottom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1312" behindDoc="0" locked="0" layoutInCell="1" allowOverlap="1">
                  <wp:simplePos x="0" y="0"/>
                  <wp:positionH relativeFrom="column">
                    <wp:posOffset>-9525</wp:posOffset>
                  </wp:positionH>
                  <wp:positionV relativeFrom="paragraph">
                    <wp:posOffset>253365</wp:posOffset>
                  </wp:positionV>
                  <wp:extent cx="1209040" cy="591820"/>
                  <wp:effectExtent l="0" t="0" r="10160" b="17780"/>
                  <wp:wrapNone/>
                  <wp:docPr id="4" name="图片 4" descr="166178300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1783009699"/>
                          <pic:cNvPicPr>
                            <a:picLocks noChangeAspect="1"/>
                          </pic:cNvPicPr>
                        </pic:nvPicPr>
                        <pic:blipFill>
                          <a:blip r:embed="rId13" cstate="print"/>
                          <a:stretch>
                            <a:fillRect/>
                          </a:stretch>
                        </pic:blipFill>
                        <pic:spPr>
                          <a:xfrm>
                            <a:off x="0" y="0"/>
                            <a:ext cx="1209040" cy="5918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2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※电视柜</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长1800×宽425×高500</w:t>
            </w:r>
          </w:p>
        </w:tc>
        <w:tc>
          <w:tcPr>
            <w:tcW w:w="5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个</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12</w:t>
            </w:r>
          </w:p>
        </w:tc>
        <w:tc>
          <w:tcPr>
            <w:tcW w:w="2127" w:type="dxa"/>
            <w:tcBorders>
              <w:top w:val="single" w:color="auto" w:sz="4" w:space="0"/>
              <w:left w:val="single" w:color="auto" w:sz="4" w:space="0"/>
              <w:bottom w:val="single" w:color="auto" w:sz="4" w:space="0"/>
            </w:tcBorders>
            <w:vAlign w:val="center"/>
          </w:tcPr>
          <w:p>
            <w:pPr>
              <w:ind w:firstLine="480" w:firstLineChars="200"/>
              <w:jc w:val="center"/>
              <w:rPr>
                <w:rFonts w:ascii="仿宋" w:hAnsi="仿宋" w:eastAsia="仿宋" w:cs="仿宋"/>
                <w:sz w:val="24"/>
                <w:szCs w:val="24"/>
                <w:highlight w:val="none"/>
              </w:rPr>
            </w:pPr>
            <w:r>
              <w:rPr>
                <w:rFonts w:ascii="仿宋" w:hAnsi="仿宋" w:eastAsia="仿宋" w:cs="仿宋"/>
                <w:sz w:val="24"/>
                <w:szCs w:val="24"/>
                <w:highlight w:val="none"/>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1211580" cy="812165"/>
                  <wp:effectExtent l="19050" t="0" r="7572" b="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4" cstate="print"/>
                          <a:srcRect/>
                          <a:stretch>
                            <a:fillRect/>
                          </a:stretch>
                        </pic:blipFill>
                        <pic:spPr>
                          <a:xfrm>
                            <a:off x="0" y="0"/>
                            <a:ext cx="1211628" cy="812042"/>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仿宋" w:hAnsi="仿宋" w:eastAsia="仿宋" w:cs="仿宋"/>
                <w:sz w:val="24"/>
                <w:szCs w:val="24"/>
                <w:highlight w:val="none"/>
              </w:rPr>
            </w:pPr>
            <w:r>
              <w:rPr>
                <w:rFonts w:hint="eastAsia" w:ascii="仿宋" w:hAnsi="仿宋" w:eastAsia="仿宋" w:cs="仿宋"/>
                <w:sz w:val="24"/>
                <w:szCs w:val="24"/>
                <w:highlight w:val="none"/>
              </w:rPr>
              <w:t>6</w:t>
            </w:r>
          </w:p>
        </w:tc>
        <w:tc>
          <w:tcPr>
            <w:tcW w:w="2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鞋柜</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长800×宽400×高2000</w:t>
            </w:r>
          </w:p>
        </w:tc>
        <w:tc>
          <w:tcPr>
            <w:tcW w:w="59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组</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6</w:t>
            </w:r>
          </w:p>
        </w:tc>
        <w:tc>
          <w:tcPr>
            <w:tcW w:w="2127" w:type="dxa"/>
            <w:tcBorders>
              <w:top w:val="single" w:color="auto" w:sz="4" w:space="0"/>
              <w:left w:val="single" w:color="auto" w:sz="4" w:space="0"/>
              <w:bottom w:val="single" w:color="auto" w:sz="4" w:space="0"/>
            </w:tcBorders>
            <w:vAlign w:val="center"/>
          </w:tcPr>
          <w:p>
            <w:pPr>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2336" behindDoc="0" locked="0" layoutInCell="1" allowOverlap="1">
                  <wp:simplePos x="0" y="0"/>
                  <wp:positionH relativeFrom="column">
                    <wp:posOffset>89535</wp:posOffset>
                  </wp:positionH>
                  <wp:positionV relativeFrom="paragraph">
                    <wp:posOffset>83820</wp:posOffset>
                  </wp:positionV>
                  <wp:extent cx="998855" cy="990600"/>
                  <wp:effectExtent l="0" t="0" r="10795" b="0"/>
                  <wp:wrapNone/>
                  <wp:docPr id="5" name="图片 5" descr="fba70bf8b42d5ac42858c4022d83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a70bf8b42d5ac42858c4022d834b7"/>
                          <pic:cNvPicPr>
                            <a:picLocks noChangeAspect="1"/>
                          </pic:cNvPicPr>
                        </pic:nvPicPr>
                        <pic:blipFill>
                          <a:blip r:embed="rId15" cstate="print"/>
                          <a:srcRect r="14691"/>
                          <a:stretch>
                            <a:fillRect/>
                          </a:stretch>
                        </pic:blipFill>
                        <pic:spPr>
                          <a:xfrm>
                            <a:off x="0" y="0"/>
                            <a:ext cx="998855" cy="990600"/>
                          </a:xfrm>
                          <a:prstGeom prst="rect">
                            <a:avLst/>
                          </a:prstGeom>
                          <a:ln>
                            <a:noFill/>
                          </a:ln>
                        </pic:spPr>
                      </pic:pic>
                    </a:graphicData>
                  </a:graphic>
                </wp:anchor>
              </w:drawing>
            </w:r>
          </w:p>
        </w:tc>
      </w:tr>
      <w:bookmarkEnd w:id="83"/>
    </w:tbl>
    <w:p>
      <w:pPr>
        <w:pStyle w:val="2"/>
        <w:rPr>
          <w:rFonts w:ascii="仿宋" w:hAnsi="仿宋" w:eastAsia="仿宋" w:cs="仿宋"/>
          <w:sz w:val="24"/>
          <w:szCs w:val="24"/>
          <w:highlight w:val="none"/>
        </w:rPr>
      </w:pPr>
    </w:p>
    <w:p>
      <w:pPr>
        <w:ind w:firstLine="480" w:firstLineChars="200"/>
        <w:rPr>
          <w:rFonts w:ascii="仿宋" w:hAnsi="仿宋" w:eastAsia="仿宋" w:cs="仿宋"/>
          <w:sz w:val="24"/>
          <w:szCs w:val="24"/>
          <w:highlight w:val="none"/>
        </w:rPr>
      </w:pPr>
      <w:bookmarkStart w:id="84" w:name="_Hlk103266470"/>
    </w:p>
    <w:bookmarkEnd w:id="84"/>
    <w:p>
      <w:pPr>
        <w:pStyle w:val="2"/>
        <w:rPr>
          <w:rFonts w:ascii="仿宋" w:hAnsi="仿宋" w:eastAsia="仿宋" w:cs="仿宋"/>
          <w:sz w:val="24"/>
          <w:szCs w:val="24"/>
          <w:highlight w:val="none"/>
        </w:rPr>
        <w:sectPr>
          <w:footerReference r:id="rId3" w:type="default"/>
          <w:pgSz w:w="11906" w:h="16838"/>
          <w:pgMar w:top="851" w:right="1274" w:bottom="1135" w:left="1134" w:header="851" w:footer="567" w:gutter="0"/>
          <w:cols w:space="720" w:num="1"/>
          <w:docGrid w:type="lines" w:linePitch="312" w:charSpace="0"/>
        </w:sectPr>
      </w:pP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（三）主要材料及参数要求</w:t>
      </w: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注意：如有推荐品牌的材料或配件等，投标人提供的产品性能必须等同于或优于推荐品牌产品。</w:t>
      </w:r>
    </w:p>
    <w:p>
      <w:pPr>
        <w:rPr>
          <w:rFonts w:ascii="仿宋" w:hAnsi="仿宋" w:eastAsia="仿宋" w:cs="仿宋"/>
          <w:sz w:val="24"/>
          <w:szCs w:val="24"/>
          <w:highlight w:val="none"/>
        </w:rPr>
      </w:pP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一、衣柜</w:t>
      </w:r>
    </w:p>
    <w:p>
      <w:pPr>
        <w:rPr>
          <w:highlight w:val="none"/>
        </w:rPr>
      </w:pPr>
      <w:r>
        <w:rPr>
          <w:highlight w:val="none"/>
        </w:rPr>
        <w:drawing>
          <wp:inline distT="0" distB="0" distL="114300" distR="114300">
            <wp:extent cx="7378700" cy="1035685"/>
            <wp:effectExtent l="0" t="0" r="1270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7378700" cy="1035685"/>
                    </a:xfrm>
                    <a:prstGeom prst="rect">
                      <a:avLst/>
                    </a:prstGeom>
                    <a:noFill/>
                    <a:ln>
                      <a:noFill/>
                    </a:ln>
                  </pic:spPr>
                </pic:pic>
              </a:graphicData>
            </a:graphic>
          </wp:inline>
        </w:drawing>
      </w:r>
      <w:r>
        <w:rPr>
          <w:rFonts w:hint="eastAsia"/>
          <w:highlight w:val="none"/>
        </w:rPr>
        <w:drawing>
          <wp:inline distT="0" distB="0" distL="114300" distR="114300">
            <wp:extent cx="7840345" cy="3664585"/>
            <wp:effectExtent l="0" t="0" r="8255" b="8255"/>
            <wp:docPr id="6" name="图片 6" descr="1d57d659c94260826a3b18c2aaf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d57d659c94260826a3b18c2aaf713a"/>
                    <pic:cNvPicPr>
                      <a:picLocks noChangeAspect="1"/>
                    </pic:cNvPicPr>
                  </pic:nvPicPr>
                  <pic:blipFill>
                    <a:blip r:embed="rId17" cstate="print"/>
                    <a:stretch>
                      <a:fillRect/>
                    </a:stretch>
                  </pic:blipFill>
                  <pic:spPr>
                    <a:xfrm>
                      <a:off x="0" y="0"/>
                      <a:ext cx="7840345" cy="3664585"/>
                    </a:xfrm>
                    <a:prstGeom prst="rect">
                      <a:avLst/>
                    </a:prstGeom>
                  </pic:spPr>
                </pic:pic>
              </a:graphicData>
            </a:graphic>
          </wp:inline>
        </w:drawing>
      </w:r>
    </w:p>
    <w:p>
      <w:pPr>
        <w:pStyle w:val="2"/>
        <w:jc w:val="center"/>
        <w:rPr>
          <w:rFonts w:ascii="仿宋" w:hAnsi="仿宋" w:eastAsia="仿宋" w:cs="仿宋"/>
          <w:sz w:val="24"/>
          <w:szCs w:val="24"/>
          <w:highlight w:val="none"/>
        </w:rPr>
      </w:pPr>
    </w:p>
    <w:p>
      <w:pPr>
        <w:widowControl/>
        <w:snapToGrid w:val="0"/>
        <w:jc w:val="center"/>
        <w:rPr>
          <w:rFonts w:ascii="仿宋" w:hAnsi="仿宋" w:eastAsia="仿宋" w:cs="仿宋"/>
          <w:sz w:val="24"/>
          <w:szCs w:val="24"/>
          <w:highlight w:val="none"/>
        </w:rPr>
        <w:sectPr>
          <w:pgSz w:w="16838" w:h="11906" w:orient="landscape"/>
          <w:pgMar w:top="1134" w:right="851" w:bottom="1274" w:left="1135" w:header="851" w:footer="567" w:gutter="0"/>
          <w:cols w:space="720" w:num="1"/>
          <w:docGrid w:type="lines" w:linePitch="312" w:charSpace="0"/>
        </w:sectPr>
      </w:pPr>
      <w:r>
        <w:rPr>
          <w:rFonts w:hint="eastAsia" w:ascii="仿宋" w:hAnsi="仿宋" w:eastAsia="仿宋" w:cs="仿宋"/>
          <w:sz w:val="24"/>
          <w:szCs w:val="24"/>
          <w:highlight w:val="none"/>
        </w:rPr>
        <w:drawing>
          <wp:inline distT="0" distB="0" distL="0" distR="0">
            <wp:extent cx="8973820" cy="5443855"/>
            <wp:effectExtent l="0" t="0" r="1778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cstate="print">
                      <a:extLst>
                        <a:ext uri="{28A0092B-C50C-407E-A947-70E740481C1C}">
                          <a14:useLocalDpi xmlns:a14="http://schemas.microsoft.com/office/drawing/2010/main" val="0"/>
                        </a:ext>
                      </a:extLst>
                    </a:blip>
                    <a:srcRect l="1805" t="4938" r="1903" b="12528"/>
                    <a:stretch>
                      <a:fillRect/>
                    </a:stretch>
                  </pic:blipFill>
                  <pic:spPr>
                    <a:xfrm>
                      <a:off x="0" y="0"/>
                      <a:ext cx="8989177" cy="5453000"/>
                    </a:xfrm>
                    <a:prstGeom prst="rect">
                      <a:avLst/>
                    </a:prstGeom>
                    <a:noFill/>
                    <a:ln>
                      <a:noFill/>
                    </a:ln>
                  </pic:spPr>
                </pic:pic>
              </a:graphicData>
            </a:graphic>
          </wp:inline>
        </w:drawing>
      </w: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二、床（含铺板）</w:t>
      </w:r>
    </w:p>
    <w:p>
      <w:pPr>
        <w:pStyle w:val="2"/>
        <w:ind w:firstLine="560" w:firstLineChars="200"/>
        <w:jc w:val="left"/>
        <w:rPr>
          <w:rFonts w:ascii="仿宋" w:hAnsi="仿宋" w:eastAsia="仿宋" w:cs="仿宋"/>
          <w:sz w:val="24"/>
          <w:szCs w:val="24"/>
          <w:highlight w:val="none"/>
        </w:rPr>
      </w:pPr>
      <w:r>
        <w:rPr>
          <w:highlight w:val="none"/>
        </w:rPr>
        <w:drawing>
          <wp:inline distT="0" distB="0" distL="114300" distR="114300">
            <wp:extent cx="7231380" cy="807720"/>
            <wp:effectExtent l="0" t="0" r="762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7231380" cy="807720"/>
                    </a:xfrm>
                    <a:prstGeom prst="rect">
                      <a:avLst/>
                    </a:prstGeom>
                    <a:noFill/>
                    <a:ln>
                      <a:noFill/>
                    </a:ln>
                  </pic:spPr>
                </pic:pic>
              </a:graphicData>
            </a:graphic>
          </wp:inline>
        </w:drawing>
      </w:r>
    </w:p>
    <w:p>
      <w:pPr>
        <w:rPr>
          <w:highlight w:val="none"/>
        </w:rPr>
      </w:pPr>
      <w:r>
        <w:rPr>
          <w:highlight w:val="none"/>
        </w:rPr>
        <w:drawing>
          <wp:inline distT="0" distB="0" distL="114300" distR="114300">
            <wp:extent cx="7794625" cy="4463415"/>
            <wp:effectExtent l="0" t="0" r="825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cstate="print"/>
                    <a:stretch>
                      <a:fillRect/>
                    </a:stretch>
                  </pic:blipFill>
                  <pic:spPr>
                    <a:xfrm>
                      <a:off x="0" y="0"/>
                      <a:ext cx="7794625" cy="4463415"/>
                    </a:xfrm>
                    <a:prstGeom prst="rect">
                      <a:avLst/>
                    </a:prstGeom>
                    <a:noFill/>
                    <a:ln>
                      <a:noFill/>
                    </a:ln>
                  </pic:spPr>
                </pic:pic>
              </a:graphicData>
            </a:graphic>
          </wp:inline>
        </w:drawing>
      </w:r>
    </w:p>
    <w:p>
      <w:pPr>
        <w:pStyle w:val="2"/>
        <w:jc w:val="center"/>
        <w:rPr>
          <w:rFonts w:ascii="仿宋" w:hAnsi="仿宋" w:eastAsia="仿宋" w:cs="仿宋"/>
          <w:sz w:val="24"/>
          <w:szCs w:val="24"/>
          <w:highlight w:val="none"/>
        </w:rPr>
      </w:pPr>
      <w:r>
        <w:rPr>
          <w:highlight w:val="none"/>
        </w:rPr>
        <w:drawing>
          <wp:inline distT="0" distB="0" distL="114300" distR="114300">
            <wp:extent cx="8888730" cy="5457825"/>
            <wp:effectExtent l="0" t="0" r="11430"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1" cstate="print"/>
                    <a:stretch>
                      <a:fillRect/>
                    </a:stretch>
                  </pic:blipFill>
                  <pic:spPr>
                    <a:xfrm>
                      <a:off x="0" y="0"/>
                      <a:ext cx="8888730" cy="5457825"/>
                    </a:xfrm>
                    <a:prstGeom prst="rect">
                      <a:avLst/>
                    </a:prstGeom>
                    <a:noFill/>
                    <a:ln>
                      <a:noFill/>
                    </a:ln>
                  </pic:spPr>
                </pic:pic>
              </a:graphicData>
            </a:graphic>
          </wp:inline>
        </w:drawing>
      </w:r>
    </w:p>
    <w:p>
      <w:pPr>
        <w:pStyle w:val="2"/>
        <w:ind w:firstLine="482" w:firstLineChars="200"/>
        <w:rPr>
          <w:rFonts w:ascii="仿宋" w:hAnsi="仿宋" w:eastAsia="仿宋" w:cs="仿宋"/>
          <w:b/>
          <w:sz w:val="24"/>
          <w:szCs w:val="24"/>
          <w:highlight w:val="none"/>
        </w:rPr>
        <w:sectPr>
          <w:pgSz w:w="16838" w:h="11906" w:orient="landscape"/>
          <w:pgMar w:top="1418" w:right="1418" w:bottom="1418" w:left="1418" w:header="851" w:footer="992" w:gutter="0"/>
          <w:cols w:space="720" w:num="1"/>
          <w:docGrid w:type="lines" w:linePitch="312" w:charSpace="0"/>
        </w:sectPr>
      </w:pP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三、床头柜</w:t>
      </w:r>
    </w:p>
    <w:p>
      <w:pPr>
        <w:pStyle w:val="2"/>
        <w:rPr>
          <w:rFonts w:ascii="仿宋" w:hAnsi="仿宋" w:eastAsia="仿宋" w:cs="仿宋"/>
          <w:sz w:val="24"/>
          <w:szCs w:val="24"/>
          <w:highlight w:val="none"/>
        </w:rPr>
      </w:pPr>
      <w:r>
        <w:rPr>
          <w:rFonts w:ascii="仿宋" w:hAnsi="仿宋" w:eastAsia="仿宋" w:cs="仿宋"/>
          <w:sz w:val="24"/>
          <w:szCs w:val="24"/>
          <w:highlight w:val="none"/>
        </w:rPr>
        <w:drawing>
          <wp:anchor distT="0" distB="0" distL="114300" distR="114300" simplePos="0" relativeHeight="251664384" behindDoc="0" locked="0" layoutInCell="1" allowOverlap="1">
            <wp:simplePos x="0" y="0"/>
            <wp:positionH relativeFrom="column">
              <wp:posOffset>1310005</wp:posOffset>
            </wp:positionH>
            <wp:positionV relativeFrom="paragraph">
              <wp:posOffset>36195</wp:posOffset>
            </wp:positionV>
            <wp:extent cx="7185660" cy="550227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22" cstate="print"/>
                    <a:srcRect/>
                    <a:stretch>
                      <a:fillRect/>
                    </a:stretch>
                  </pic:blipFill>
                  <pic:spPr>
                    <a:xfrm>
                      <a:off x="0" y="0"/>
                      <a:ext cx="7185792" cy="5502166"/>
                    </a:xfrm>
                    <a:prstGeom prst="rect">
                      <a:avLst/>
                    </a:prstGeom>
                    <a:noFill/>
                    <a:ln w="9525">
                      <a:noFill/>
                      <a:miter lim="800000"/>
                      <a:headEnd/>
                      <a:tailEnd/>
                    </a:ln>
                  </pic:spPr>
                </pic:pic>
              </a:graphicData>
            </a:graphic>
          </wp:anchor>
        </w:drawing>
      </w:r>
    </w:p>
    <w:p>
      <w:pPr>
        <w:widowControl/>
        <w:jc w:val="left"/>
        <w:rPr>
          <w:highlight w:val="none"/>
        </w:rPr>
      </w:pPr>
      <w:r>
        <w:rPr>
          <w:highlight w:val="none"/>
        </w:rPr>
        <w:br w:type="page"/>
      </w:r>
    </w:p>
    <w:p>
      <w:pPr>
        <w:jc w:val="center"/>
        <w:rPr>
          <w:rFonts w:ascii="仿宋" w:hAnsi="仿宋" w:eastAsia="仿宋" w:cs="仿宋"/>
          <w:sz w:val="24"/>
          <w:szCs w:val="24"/>
          <w:highlight w:val="none"/>
        </w:rPr>
      </w:pPr>
      <w:r>
        <w:rPr>
          <w:rFonts w:ascii="仿宋" w:hAnsi="仿宋" w:eastAsia="仿宋" w:cs="仿宋"/>
          <w:sz w:val="24"/>
          <w:szCs w:val="24"/>
          <w:highlight w:val="none"/>
        </w:rPr>
        <w:drawing>
          <wp:inline distT="0" distB="0" distL="0" distR="0">
            <wp:extent cx="8891270" cy="5662930"/>
            <wp:effectExtent l="19050" t="0" r="508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23" cstate="print"/>
                    <a:srcRect/>
                    <a:stretch>
                      <a:fillRect/>
                    </a:stretch>
                  </pic:blipFill>
                  <pic:spPr>
                    <a:xfrm>
                      <a:off x="0" y="0"/>
                      <a:ext cx="8891270" cy="5663041"/>
                    </a:xfrm>
                    <a:prstGeom prst="rect">
                      <a:avLst/>
                    </a:prstGeom>
                    <a:noFill/>
                    <a:ln w="9525">
                      <a:noFill/>
                      <a:miter lim="800000"/>
                      <a:headEnd/>
                      <a:tailEnd/>
                    </a:ln>
                  </pic:spPr>
                </pic:pic>
              </a:graphicData>
            </a:graphic>
          </wp:inline>
        </w:drawing>
      </w:r>
    </w:p>
    <w:p>
      <w:pPr>
        <w:pStyle w:val="2"/>
        <w:ind w:firstLine="482" w:firstLineChars="200"/>
        <w:rPr>
          <w:rFonts w:ascii="仿宋" w:hAnsi="仿宋" w:eastAsia="仿宋" w:cs="仿宋"/>
          <w:b/>
          <w:sz w:val="24"/>
          <w:szCs w:val="24"/>
          <w:highlight w:val="none"/>
        </w:rPr>
        <w:sectPr>
          <w:pgSz w:w="16838" w:h="11906" w:orient="landscape"/>
          <w:pgMar w:top="1418" w:right="1418" w:bottom="1418" w:left="1418" w:header="851" w:footer="992" w:gutter="0"/>
          <w:cols w:space="720" w:num="1"/>
          <w:docGrid w:type="lines" w:linePitch="312" w:charSpace="0"/>
        </w:sectPr>
      </w:pP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四、席梦思床垫</w:t>
      </w:r>
    </w:p>
    <w:p>
      <w:pPr>
        <w:jc w:val="center"/>
        <w:rPr>
          <w:rFonts w:ascii="仿宋" w:hAnsi="仿宋" w:eastAsia="仿宋" w:cs="仿宋"/>
          <w:sz w:val="24"/>
          <w:szCs w:val="24"/>
          <w:highlight w:val="none"/>
        </w:rPr>
      </w:pPr>
    </w:p>
    <w:p>
      <w:pPr>
        <w:jc w:val="center"/>
        <w:rPr>
          <w:rFonts w:ascii="仿宋" w:hAnsi="仿宋" w:eastAsia="仿宋" w:cs="仿宋"/>
          <w:sz w:val="24"/>
          <w:szCs w:val="24"/>
          <w:highlight w:val="none"/>
        </w:rPr>
      </w:pPr>
    </w:p>
    <w:p>
      <w:pPr>
        <w:jc w:val="left"/>
        <w:rPr>
          <w:rFonts w:ascii="仿宋" w:hAnsi="仿宋" w:eastAsia="仿宋" w:cs="仿宋"/>
          <w:sz w:val="24"/>
          <w:szCs w:val="24"/>
          <w:highlight w:val="none"/>
        </w:rPr>
      </w:pPr>
      <w:r>
        <w:rPr>
          <w:highlight w:val="none"/>
        </w:rPr>
        <w:drawing>
          <wp:inline distT="0" distB="0" distL="114300" distR="114300">
            <wp:extent cx="7711440" cy="525780"/>
            <wp:effectExtent l="0" t="0" r="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7711440" cy="525780"/>
                    </a:xfrm>
                    <a:prstGeom prst="rect">
                      <a:avLst/>
                    </a:prstGeom>
                    <a:noFill/>
                    <a:ln>
                      <a:noFill/>
                    </a:ln>
                  </pic:spPr>
                </pic:pic>
              </a:graphicData>
            </a:graphic>
          </wp:inline>
        </w:drawing>
      </w:r>
    </w:p>
    <w:p>
      <w:pPr>
        <w:jc w:val="left"/>
        <w:rPr>
          <w:rFonts w:ascii="仿宋" w:hAnsi="仿宋" w:eastAsia="仿宋" w:cs="仿宋"/>
          <w:sz w:val="24"/>
          <w:szCs w:val="24"/>
          <w:highlight w:val="none"/>
        </w:rPr>
      </w:pPr>
      <w:r>
        <w:rPr>
          <w:highlight w:val="none"/>
        </w:rPr>
        <w:drawing>
          <wp:inline distT="0" distB="0" distL="114300" distR="114300">
            <wp:extent cx="6158865" cy="4418965"/>
            <wp:effectExtent l="0" t="0" r="13335"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cstate="print"/>
                    <a:stretch>
                      <a:fillRect/>
                    </a:stretch>
                  </pic:blipFill>
                  <pic:spPr>
                    <a:xfrm>
                      <a:off x="0" y="0"/>
                      <a:ext cx="6158865" cy="4418965"/>
                    </a:xfrm>
                    <a:prstGeom prst="rect">
                      <a:avLst/>
                    </a:prstGeom>
                    <a:noFill/>
                    <a:ln>
                      <a:noFill/>
                    </a:ln>
                  </pic:spPr>
                </pic:pic>
              </a:graphicData>
            </a:graphic>
          </wp:inline>
        </w:drawing>
      </w:r>
    </w:p>
    <w:p>
      <w:pPr>
        <w:jc w:val="center"/>
        <w:rPr>
          <w:rFonts w:ascii="仿宋" w:hAnsi="仿宋" w:eastAsia="仿宋" w:cs="仿宋"/>
          <w:sz w:val="24"/>
          <w:szCs w:val="24"/>
          <w:highlight w:val="none"/>
        </w:rPr>
      </w:pPr>
      <w:r>
        <w:rPr>
          <w:rFonts w:hint="eastAsia" w:ascii="仿宋" w:hAnsi="仿宋" w:eastAsia="仿宋" w:cs="仿宋"/>
          <w:sz w:val="24"/>
          <w:szCs w:val="24"/>
          <w:highlight w:val="none"/>
        </w:rPr>
        <w:drawing>
          <wp:inline distT="0" distB="0" distL="0" distR="0">
            <wp:extent cx="7931785" cy="5369560"/>
            <wp:effectExtent l="0" t="0" r="1206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l="4187" t="8787" r="2884" b="2317"/>
                    <a:stretch>
                      <a:fillRect/>
                    </a:stretch>
                  </pic:blipFill>
                  <pic:spPr>
                    <a:xfrm>
                      <a:off x="0" y="0"/>
                      <a:ext cx="7938854" cy="5374817"/>
                    </a:xfrm>
                    <a:prstGeom prst="rect">
                      <a:avLst/>
                    </a:prstGeom>
                    <a:noFill/>
                    <a:ln>
                      <a:noFill/>
                    </a:ln>
                  </pic:spPr>
                </pic:pic>
              </a:graphicData>
            </a:graphic>
          </wp:inline>
        </w:drawing>
      </w:r>
    </w:p>
    <w:p>
      <w:pPr>
        <w:pStyle w:val="2"/>
        <w:ind w:firstLine="482" w:firstLineChars="200"/>
        <w:rPr>
          <w:rFonts w:ascii="仿宋" w:hAnsi="仿宋" w:eastAsia="仿宋" w:cs="仿宋"/>
          <w:b/>
          <w:sz w:val="24"/>
          <w:szCs w:val="24"/>
          <w:highlight w:val="none"/>
        </w:rPr>
        <w:sectPr>
          <w:pgSz w:w="16838" w:h="11906" w:orient="landscape"/>
          <w:pgMar w:top="1418" w:right="1418" w:bottom="1418" w:left="1418" w:header="851" w:footer="992" w:gutter="0"/>
          <w:cols w:space="720" w:num="1"/>
          <w:docGrid w:type="lines" w:linePitch="312" w:charSpace="0"/>
        </w:sectPr>
      </w:pPr>
    </w:p>
    <w:p>
      <w:pPr>
        <w:pStyle w:val="2"/>
        <w:ind w:firstLine="482" w:firstLineChars="200"/>
        <w:jc w:val="left"/>
        <w:rPr>
          <w:rFonts w:ascii="仿宋" w:hAnsi="仿宋" w:eastAsia="仿宋" w:cs="仿宋"/>
          <w:sz w:val="24"/>
          <w:szCs w:val="24"/>
          <w:highlight w:val="none"/>
        </w:rPr>
      </w:pPr>
      <w:r>
        <w:rPr>
          <w:rFonts w:hint="eastAsia" w:ascii="仿宋" w:hAnsi="仿宋" w:eastAsia="仿宋" w:cs="仿宋"/>
          <w:b/>
          <w:sz w:val="24"/>
          <w:szCs w:val="24"/>
          <w:highlight w:val="none"/>
        </w:rPr>
        <w:t>五、电视柜</w:t>
      </w:r>
    </w:p>
    <w:p>
      <w:pPr>
        <w:widowControl/>
        <w:jc w:val="left"/>
        <w:rPr>
          <w:strike/>
          <w:color w:val="FF0000"/>
          <w:highlight w:val="none"/>
        </w:rPr>
      </w:pPr>
      <w:r>
        <w:rPr>
          <w:rFonts w:hint="eastAsia" w:ascii="仿宋" w:hAnsi="仿宋" w:eastAsia="仿宋" w:cs="仿宋"/>
          <w:b/>
          <w:sz w:val="24"/>
          <w:szCs w:val="24"/>
          <w:highlight w:val="none"/>
        </w:rPr>
        <w:drawing>
          <wp:anchor distT="0" distB="0" distL="114300" distR="114300" simplePos="0" relativeHeight="251665408" behindDoc="0" locked="0" layoutInCell="1" allowOverlap="1">
            <wp:simplePos x="0" y="0"/>
            <wp:positionH relativeFrom="column">
              <wp:posOffset>1076325</wp:posOffset>
            </wp:positionH>
            <wp:positionV relativeFrom="paragraph">
              <wp:posOffset>139700</wp:posOffset>
            </wp:positionV>
            <wp:extent cx="7388225" cy="5502275"/>
            <wp:effectExtent l="19050" t="0" r="3197" b="0"/>
            <wp:wrapNone/>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27" cstate="print"/>
                    <a:srcRect/>
                    <a:stretch>
                      <a:fillRect/>
                    </a:stretch>
                  </pic:blipFill>
                  <pic:spPr>
                    <a:xfrm>
                      <a:off x="0" y="0"/>
                      <a:ext cx="7388203" cy="5502166"/>
                    </a:xfrm>
                    <a:prstGeom prst="rect">
                      <a:avLst/>
                    </a:prstGeom>
                    <a:noFill/>
                    <a:ln w="9525">
                      <a:noFill/>
                      <a:miter lim="800000"/>
                      <a:headEnd/>
                      <a:tailEnd/>
                    </a:ln>
                  </pic:spPr>
                </pic:pic>
              </a:graphicData>
            </a:graphic>
          </wp:anchor>
        </w:drawing>
      </w:r>
      <w:r>
        <w:rPr>
          <w:strike/>
          <w:color w:val="FF0000"/>
          <w:highlight w:val="none"/>
        </w:rPr>
        <w:br w:type="page"/>
      </w:r>
    </w:p>
    <w:p>
      <w:pPr>
        <w:pStyle w:val="2"/>
        <w:jc w:val="left"/>
        <w:rPr>
          <w:strike/>
          <w:color w:val="FF0000"/>
          <w:highlight w:val="none"/>
        </w:rPr>
      </w:pPr>
    </w:p>
    <w:p>
      <w:pPr>
        <w:pStyle w:val="2"/>
        <w:jc w:val="center"/>
        <w:rPr>
          <w:rFonts w:ascii="仿宋" w:hAnsi="仿宋" w:eastAsia="仿宋" w:cs="仿宋"/>
          <w:b/>
          <w:sz w:val="24"/>
          <w:szCs w:val="24"/>
          <w:highlight w:val="none"/>
        </w:rPr>
      </w:pPr>
      <w:r>
        <w:rPr>
          <w:rFonts w:ascii="仿宋" w:hAnsi="仿宋" w:eastAsia="仿宋" w:cs="仿宋"/>
          <w:b/>
          <w:sz w:val="24"/>
          <w:szCs w:val="24"/>
          <w:highlight w:val="none"/>
        </w:rPr>
        <w:drawing>
          <wp:inline distT="0" distB="0" distL="0" distR="0">
            <wp:extent cx="8891270" cy="5215255"/>
            <wp:effectExtent l="19050" t="0" r="508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28" cstate="print"/>
                    <a:srcRect/>
                    <a:stretch>
                      <a:fillRect/>
                    </a:stretch>
                  </pic:blipFill>
                  <pic:spPr>
                    <a:xfrm>
                      <a:off x="0" y="0"/>
                      <a:ext cx="8891270" cy="5215680"/>
                    </a:xfrm>
                    <a:prstGeom prst="rect">
                      <a:avLst/>
                    </a:prstGeom>
                    <a:noFill/>
                    <a:ln w="9525">
                      <a:noFill/>
                      <a:miter lim="800000"/>
                      <a:headEnd/>
                      <a:tailEnd/>
                    </a:ln>
                  </pic:spPr>
                </pic:pic>
              </a:graphicData>
            </a:graphic>
          </wp:inline>
        </w:drawing>
      </w:r>
    </w:p>
    <w:p>
      <w:pPr>
        <w:pStyle w:val="2"/>
        <w:jc w:val="center"/>
        <w:rPr>
          <w:rFonts w:ascii="仿宋" w:hAnsi="仿宋" w:eastAsia="仿宋" w:cs="仿宋"/>
          <w:b/>
          <w:sz w:val="24"/>
          <w:szCs w:val="24"/>
          <w:highlight w:val="none"/>
        </w:rPr>
      </w:pPr>
    </w:p>
    <w:p>
      <w:pPr>
        <w:pStyle w:val="2"/>
        <w:ind w:firstLine="482" w:firstLineChars="200"/>
        <w:rPr>
          <w:rFonts w:ascii="仿宋" w:hAnsi="仿宋" w:eastAsia="仿宋" w:cs="仿宋"/>
          <w:b/>
          <w:sz w:val="24"/>
          <w:szCs w:val="24"/>
          <w:highlight w:val="none"/>
        </w:rPr>
      </w:pPr>
    </w:p>
    <w:p>
      <w:pPr>
        <w:pStyle w:val="2"/>
        <w:ind w:firstLine="482" w:firstLineChars="200"/>
        <w:rPr>
          <w:rFonts w:ascii="仿宋" w:hAnsi="仿宋" w:eastAsia="仿宋" w:cs="仿宋"/>
          <w:sz w:val="24"/>
          <w:szCs w:val="24"/>
          <w:highlight w:val="none"/>
        </w:rPr>
      </w:pPr>
      <w:r>
        <w:rPr>
          <w:rFonts w:hint="eastAsia" w:ascii="仿宋" w:hAnsi="仿宋" w:eastAsia="仿宋" w:cs="仿宋"/>
          <w:b/>
          <w:sz w:val="24"/>
          <w:szCs w:val="24"/>
          <w:highlight w:val="none"/>
        </w:rPr>
        <w:t>六、鞋柜</w:t>
      </w:r>
    </w:p>
    <w:p>
      <w:pPr>
        <w:pStyle w:val="2"/>
        <w:ind w:firstLine="560" w:firstLineChars="200"/>
        <w:jc w:val="left"/>
        <w:rPr>
          <w:highlight w:val="none"/>
        </w:rPr>
      </w:pPr>
      <w:r>
        <w:rPr>
          <w:highlight w:val="none"/>
        </w:rPr>
        <w:drawing>
          <wp:inline distT="0" distB="0" distL="114300" distR="114300">
            <wp:extent cx="6637020" cy="655320"/>
            <wp:effectExtent l="0" t="0" r="762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9"/>
                    <a:stretch>
                      <a:fillRect/>
                    </a:stretch>
                  </pic:blipFill>
                  <pic:spPr>
                    <a:xfrm>
                      <a:off x="0" y="0"/>
                      <a:ext cx="6637020" cy="655320"/>
                    </a:xfrm>
                    <a:prstGeom prst="rect">
                      <a:avLst/>
                    </a:prstGeom>
                    <a:noFill/>
                    <a:ln>
                      <a:noFill/>
                    </a:ln>
                  </pic:spPr>
                </pic:pic>
              </a:graphicData>
            </a:graphic>
          </wp:inline>
        </w:drawing>
      </w:r>
      <w:r>
        <w:rPr>
          <w:highlight w:val="none"/>
        </w:rPr>
        <w:drawing>
          <wp:inline distT="0" distB="0" distL="114300" distR="114300">
            <wp:extent cx="6666865" cy="3919220"/>
            <wp:effectExtent l="0" t="0" r="8255" b="1270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0" cstate="print"/>
                    <a:stretch>
                      <a:fillRect/>
                    </a:stretch>
                  </pic:blipFill>
                  <pic:spPr>
                    <a:xfrm>
                      <a:off x="0" y="0"/>
                      <a:ext cx="6666865" cy="3919220"/>
                    </a:xfrm>
                    <a:prstGeom prst="rect">
                      <a:avLst/>
                    </a:prstGeom>
                    <a:noFill/>
                    <a:ln>
                      <a:noFill/>
                    </a:ln>
                  </pic:spPr>
                </pic:pic>
              </a:graphicData>
            </a:graphic>
          </wp:inline>
        </w:drawing>
      </w:r>
    </w:p>
    <w:p>
      <w:pPr>
        <w:pStyle w:val="2"/>
        <w:ind w:firstLine="480" w:firstLineChars="200"/>
        <w:jc w:val="left"/>
        <w:rPr>
          <w:rFonts w:ascii="仿宋" w:hAnsi="仿宋" w:eastAsia="仿宋" w:cs="仿宋"/>
          <w:sz w:val="24"/>
          <w:szCs w:val="24"/>
          <w:highlight w:val="none"/>
        </w:rPr>
        <w:sectPr>
          <w:pgSz w:w="16838" w:h="11906" w:orient="landscape"/>
          <w:pgMar w:top="1418" w:right="1418" w:bottom="1418" w:left="1418" w:header="851" w:footer="992" w:gutter="0"/>
          <w:cols w:space="720" w:num="1"/>
          <w:docGrid w:type="lines" w:linePitch="312" w:charSpace="0"/>
        </w:sectPr>
      </w:pPr>
    </w:p>
    <w:p>
      <w:pPr>
        <w:jc w:val="center"/>
        <w:rPr>
          <w:rFonts w:ascii="仿宋" w:hAnsi="仿宋" w:eastAsia="仿宋" w:cs="仿宋"/>
          <w:sz w:val="24"/>
          <w:szCs w:val="24"/>
          <w:highlight w:val="none"/>
        </w:rPr>
      </w:pPr>
      <w:r>
        <w:rPr>
          <w:highlight w:val="none"/>
        </w:rPr>
        <w:drawing>
          <wp:inline distT="0" distB="0" distL="114300" distR="114300">
            <wp:extent cx="6339840" cy="4732020"/>
            <wp:effectExtent l="0" t="0" r="0"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1" cstate="print"/>
                    <a:stretch>
                      <a:fillRect/>
                    </a:stretch>
                  </pic:blipFill>
                  <pic:spPr>
                    <a:xfrm>
                      <a:off x="0" y="0"/>
                      <a:ext cx="6339840" cy="4732020"/>
                    </a:xfrm>
                    <a:prstGeom prst="rect">
                      <a:avLst/>
                    </a:prstGeom>
                    <a:noFill/>
                    <a:ln>
                      <a:noFill/>
                    </a:ln>
                  </pic:spPr>
                </pic:pic>
              </a:graphicData>
            </a:graphic>
          </wp:inline>
        </w:drawing>
      </w:r>
    </w:p>
    <w:p>
      <w:pPr>
        <w:pStyle w:val="2"/>
        <w:jc w:val="center"/>
        <w:rPr>
          <w:rFonts w:ascii="仿宋" w:hAnsi="仿宋" w:eastAsia="仿宋" w:cs="仿宋"/>
          <w:sz w:val="24"/>
          <w:szCs w:val="24"/>
          <w:highlight w:val="none"/>
        </w:rPr>
      </w:pPr>
    </w:p>
    <w:p>
      <w:pPr>
        <w:rPr>
          <w:rFonts w:ascii="仿宋" w:hAnsi="仿宋" w:eastAsia="仿宋" w:cs="仿宋"/>
          <w:sz w:val="24"/>
          <w:szCs w:val="24"/>
          <w:highlight w:val="none"/>
        </w:rPr>
      </w:pPr>
    </w:p>
    <w:p>
      <w:pPr>
        <w:rPr>
          <w:rFonts w:ascii="仿宋" w:hAnsi="仿宋" w:eastAsia="仿宋" w:cs="仿宋"/>
          <w:b/>
          <w:sz w:val="24"/>
          <w:szCs w:val="24"/>
          <w:highlight w:val="none"/>
        </w:rPr>
        <w:sectPr>
          <w:pgSz w:w="16838" w:h="11906" w:orient="landscape"/>
          <w:pgMar w:top="1418" w:right="1418" w:bottom="1418" w:left="1418" w:header="851" w:footer="992" w:gutter="0"/>
          <w:cols w:space="720" w:num="1"/>
          <w:docGrid w:type="lines" w:linePitch="312" w:charSpace="0"/>
        </w:sectPr>
      </w:pPr>
    </w:p>
    <w:p>
      <w:pPr>
        <w:outlineLvl w:val="1"/>
        <w:rPr>
          <w:rFonts w:ascii="仿宋" w:hAnsi="仿宋" w:eastAsia="仿宋" w:cs="仿宋"/>
          <w:b/>
          <w:sz w:val="24"/>
          <w:szCs w:val="24"/>
          <w:highlight w:val="none"/>
        </w:rPr>
      </w:pPr>
      <w:bookmarkStart w:id="85" w:name="_Toc6652"/>
      <w:r>
        <w:rPr>
          <w:rFonts w:hint="eastAsia" w:ascii="仿宋" w:hAnsi="仿宋" w:eastAsia="仿宋" w:cs="仿宋"/>
          <w:b/>
          <w:sz w:val="24"/>
          <w:szCs w:val="24"/>
          <w:highlight w:val="none"/>
        </w:rPr>
        <w:t>二.商务条件</w:t>
      </w:r>
      <w:bookmarkEnd w:id="85"/>
    </w:p>
    <w:p>
      <w:pPr>
        <w:ind w:firstLine="240" w:firstLineChars="100"/>
        <w:rPr>
          <w:rFonts w:ascii="仿宋" w:hAnsi="仿宋" w:eastAsia="仿宋" w:cs="仿宋"/>
          <w:sz w:val="24"/>
          <w:szCs w:val="24"/>
          <w:highlight w:val="none"/>
        </w:rPr>
      </w:pPr>
      <w:r>
        <w:rPr>
          <w:rFonts w:hint="eastAsia" w:ascii="仿宋" w:hAnsi="仿宋" w:eastAsia="仿宋" w:cs="仿宋"/>
          <w:sz w:val="24"/>
          <w:szCs w:val="24"/>
          <w:highlight w:val="none"/>
        </w:rPr>
        <w:t>★3.1供货期</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签订合同后30天内完成生产。具体安装时间以采购人书面通知为准，交货验收、安装调试必须在25天内完成。</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3.2交货地点</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采购人指定地点。</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3.3质量保证期</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3.3.1质保期：自验收合格之日起免费质保5年，国家主管部门或者行业标准对货物本身有更高要求的，从其规定并在合同中约定，投标人亦可提报更长的质保期。</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3.3.2中标人所提供的设备必须是全新设备，质量保证期内，如果证实货物是有缺陷的，包括潜在的缺陷或者使用不符合要求的材料等，中标人应立即免费维修或者更换有缺陷的货物或者部件，保证达到合同规定的技术以及性能要求。如果中标人在收到通知后3天内没有弥补缺陷，采购人可自行采取必要的补救措施，但风险和费用由中标人承担，采购人同时保留通过法律途径进行索赔的权利。</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3.4售后服务要求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售后服务：在承诺的免费保修期内，因产品质量不良造成的损坏，中标人应负责免费维修、更换。中标人必须有可靠的售后服务保障，当发生故障时，中标人必须在24小时内到达采购单位。</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中标人必须负责所采购设备的运输，并负责进场卸货、安装、检测，合格后交付使用，并提供标书要求年限的免费保修。</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3.5付款方式</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项目设备全部到货、安装并验收合格后30日内供方开具全额合同货款发票，凭用户签字、国有资产管理处盖章的验收单支付合同货款的90%；其余10%款项为质保金，验收合格一年后视产品质量及服务情况，支付尾款。</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3.6验收要求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3.6.1货物运抵现场后，采购人将对货物数量、质量、规格等进行检验。</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3.6.2货物全部到达后，采购人随机抽取一整套家具送到指定的检测机构进行检测，费用由中标人承担。如质量达不到要求，采购人将视货物具体情况决定由中标方予以调换，直到达到质量标准，并相应扣除5%货款，由此造成的全部损失将由中标人承担。</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3.6.3货到现场采购人在供货产品中随机抽取一位进行破坏性实验，检验是否与投标文件技术参数和投标样品相符，抽检一次不合格采购人将相应扣除5%货款，二次抽检再不合格采购人有权解除采购合同，中标人将按照采购合同赔付违约金。</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3.6.4搬运安装过程中如损坏楼内建筑和室内物品设备，采购人将根据实际情况，由中标人给予赔偿。安装完毕后，货物以及安装质量无任何问题，由采购人组成的验收小组签署验收报告，作为付款凭据之一。</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注：招标文件中</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带“★”标注的参数为实质性条款，投标人必须按照招标文件的要求做出实质性响应。</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带“※”标注的产品为投标人开标时需提供的样品，中标后投标人送至采购人指定地点封存。投标人提交的样品与投标文件不一致的，由投标人承担相关法律责任。</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带“●”标注的产品为核心产品，系指在非单一产品采购项目中，采购人根据采购项目技术构成、产品价格比重等合理确定的产品，核心产品竞标品牌不足3家的，项目废标。</w:t>
      </w:r>
    </w:p>
    <w:p>
      <w:pPr>
        <w:ind w:firstLine="240" w:firstLineChars="100"/>
        <w:rPr>
          <w:rFonts w:ascii="仿宋" w:hAnsi="仿宋" w:eastAsia="仿宋" w:cs="仿宋"/>
          <w:highlight w:val="none"/>
        </w:rPr>
      </w:pPr>
      <w:r>
        <w:rPr>
          <w:rFonts w:hint="eastAsia" w:ascii="仿宋" w:hAnsi="仿宋" w:eastAsia="仿宋" w:cs="仿宋"/>
          <w:sz w:val="24"/>
          <w:szCs w:val="24"/>
          <w:highlight w:val="none"/>
        </w:rPr>
        <w:t>带“*”标注的参数为重要项，若不满足，将进行重点扣分处理，不作废标处理</w:t>
      </w:r>
      <w:r>
        <w:rPr>
          <w:rFonts w:hint="eastAsia" w:ascii="仿宋" w:hAnsi="仿宋" w:eastAsia="仿宋" w:cs="仿宋"/>
          <w:highlight w:val="none"/>
        </w:rPr>
        <w:t>。</w:t>
      </w:r>
    </w:p>
    <w:p>
      <w:pPr>
        <w:rPr>
          <w:rFonts w:ascii="仿宋" w:hAnsi="仿宋" w:eastAsia="仿宋" w:cs="仿宋"/>
          <w:highlight w:val="none"/>
        </w:rPr>
      </w:pPr>
      <w:r>
        <w:rPr>
          <w:rFonts w:hint="eastAsia" w:ascii="仿宋" w:hAnsi="仿宋" w:eastAsia="仿宋" w:cs="仿宋"/>
          <w:highlight w:val="none"/>
        </w:rPr>
        <w:br w:type="page"/>
      </w:r>
    </w:p>
    <w:p>
      <w:pPr>
        <w:pStyle w:val="3"/>
        <w:rPr>
          <w:rFonts w:ascii="仿宋" w:hAnsi="仿宋" w:eastAsia="仿宋" w:cs="仿宋"/>
          <w:highlight w:val="none"/>
        </w:rPr>
      </w:pPr>
      <w:bookmarkStart w:id="86" w:name="_Toc25334"/>
      <w:r>
        <w:rPr>
          <w:rFonts w:hint="eastAsia" w:ascii="仿宋" w:hAnsi="仿宋" w:eastAsia="仿宋" w:cs="仿宋"/>
          <w:highlight w:val="none"/>
        </w:rPr>
        <w:t>第六部分 附件</w:t>
      </w:r>
      <w:bookmarkEnd w:id="86"/>
    </w:p>
    <w:p>
      <w:pPr>
        <w:rPr>
          <w:highlight w:val="none"/>
        </w:rPr>
      </w:pPr>
      <w:bookmarkStart w:id="87" w:name="_Toc427823747"/>
    </w:p>
    <w:p>
      <w:pPr>
        <w:pStyle w:val="134"/>
        <w:spacing w:before="31" w:after="31"/>
        <w:ind w:firstLine="643"/>
        <w:rPr>
          <w:rFonts w:ascii="仿宋" w:hAnsi="仿宋" w:eastAsia="仿宋" w:cs="仿宋"/>
          <w:b/>
          <w:sz w:val="32"/>
          <w:szCs w:val="32"/>
          <w:highlight w:val="none"/>
        </w:rPr>
      </w:pPr>
      <w:bookmarkStart w:id="88" w:name="_Toc13672900"/>
      <w:bookmarkStart w:id="89" w:name="_Toc503789286"/>
      <w:r>
        <w:rPr>
          <w:rFonts w:hint="eastAsia" w:ascii="仿宋" w:hAnsi="仿宋" w:eastAsia="仿宋" w:cs="仿宋"/>
          <w:b/>
          <w:sz w:val="32"/>
          <w:szCs w:val="32"/>
          <w:highlight w:val="none"/>
        </w:rPr>
        <w:t>投标文件格式</w:t>
      </w:r>
      <w:bookmarkEnd w:id="87"/>
      <w:bookmarkEnd w:id="88"/>
      <w:bookmarkEnd w:id="89"/>
    </w:p>
    <w:p>
      <w:pPr>
        <w:spacing w:line="440" w:lineRule="exact"/>
        <w:jc w:val="left"/>
        <w:rPr>
          <w:rFonts w:ascii="仿宋" w:hAnsi="仿宋" w:eastAsia="仿宋" w:cs="仿宋"/>
          <w:sz w:val="21"/>
          <w:szCs w:val="22"/>
          <w:highlight w:val="none"/>
        </w:rPr>
      </w:pPr>
    </w:p>
    <w:p>
      <w:pPr>
        <w:spacing w:line="440" w:lineRule="exact"/>
        <w:jc w:val="left"/>
        <w:rPr>
          <w:rFonts w:ascii="仿宋" w:hAnsi="仿宋" w:eastAsia="仿宋" w:cs="仿宋"/>
          <w:sz w:val="21"/>
          <w:szCs w:val="21"/>
          <w:highlight w:val="none"/>
          <w:lang w:val="zh-CN"/>
        </w:rPr>
      </w:pPr>
    </w:p>
    <w:p>
      <w:pPr>
        <w:spacing w:line="440" w:lineRule="exact"/>
        <w:jc w:val="left"/>
        <w:rPr>
          <w:rFonts w:ascii="仿宋" w:hAnsi="仿宋" w:eastAsia="仿宋" w:cs="仿宋"/>
          <w:sz w:val="21"/>
          <w:szCs w:val="21"/>
          <w:highlight w:val="none"/>
          <w:lang w:val="zh-CN"/>
        </w:rPr>
        <w:sectPr>
          <w:footerReference r:id="rId4" w:type="default"/>
          <w:pgSz w:w="11906" w:h="16838"/>
          <w:pgMar w:top="1440" w:right="1080" w:bottom="1440" w:left="1080" w:header="851" w:footer="992" w:gutter="0"/>
          <w:cols w:space="720" w:num="1"/>
          <w:docGrid w:type="lines" w:linePitch="312" w:charSpace="0"/>
        </w:sectPr>
      </w:pPr>
    </w:p>
    <w:p>
      <w:pPr>
        <w:pStyle w:val="33"/>
        <w:spacing w:line="360" w:lineRule="auto"/>
        <w:outlineLvl w:val="1"/>
        <w:rPr>
          <w:rFonts w:ascii="仿宋" w:hAnsi="仿宋" w:eastAsia="仿宋" w:cs="仿宋"/>
          <w:b w:val="0"/>
          <w:sz w:val="28"/>
          <w:szCs w:val="28"/>
          <w:highlight w:val="none"/>
        </w:rPr>
      </w:pPr>
      <w:bookmarkStart w:id="90" w:name="_Toc2822"/>
      <w:r>
        <w:rPr>
          <w:rFonts w:hint="eastAsia" w:ascii="仿宋" w:hAnsi="仿宋" w:eastAsia="仿宋" w:cs="仿宋"/>
          <w:b w:val="0"/>
          <w:sz w:val="28"/>
          <w:szCs w:val="28"/>
          <w:highlight w:val="none"/>
        </w:rPr>
        <w:t>附件1：封面格式</w:t>
      </w:r>
      <w:bookmarkEnd w:id="90"/>
    </w:p>
    <w:p>
      <w:pPr>
        <w:widowControl/>
        <w:autoSpaceDE w:val="0"/>
        <w:autoSpaceDN w:val="0"/>
        <w:adjustRightInd w:val="0"/>
        <w:spacing w:line="440" w:lineRule="exact"/>
        <w:ind w:right="-481"/>
        <w:jc w:val="left"/>
        <w:rPr>
          <w:rFonts w:ascii="仿宋" w:hAnsi="仿宋" w:eastAsia="仿宋" w:cs="仿宋"/>
          <w:kern w:val="1"/>
          <w:highlight w:val="none"/>
        </w:rPr>
      </w:pPr>
    </w:p>
    <w:p>
      <w:pPr>
        <w:widowControl/>
        <w:autoSpaceDE w:val="0"/>
        <w:autoSpaceDN w:val="0"/>
        <w:adjustRightInd w:val="0"/>
        <w:spacing w:line="440" w:lineRule="exact"/>
        <w:ind w:right="-481"/>
        <w:jc w:val="right"/>
        <w:rPr>
          <w:rFonts w:ascii="仿宋" w:hAnsi="仿宋" w:eastAsia="仿宋" w:cs="仿宋"/>
          <w:kern w:val="1"/>
          <w:highlight w:val="none"/>
        </w:rPr>
      </w:pPr>
      <w:r>
        <w:rPr>
          <w:rFonts w:hint="eastAsia" w:ascii="仿宋" w:hAnsi="仿宋" w:eastAsia="仿宋" w:cs="仿宋"/>
          <w:kern w:val="1"/>
          <w:highlight w:val="none"/>
        </w:rPr>
        <w:t>【正（副）本】</w:t>
      </w:r>
    </w:p>
    <w:p>
      <w:pPr>
        <w:widowControl/>
        <w:autoSpaceDE w:val="0"/>
        <w:autoSpaceDN w:val="0"/>
        <w:adjustRightInd w:val="0"/>
        <w:spacing w:line="440" w:lineRule="exact"/>
        <w:ind w:right="-481"/>
        <w:jc w:val="left"/>
        <w:rPr>
          <w:rFonts w:ascii="仿宋" w:hAnsi="仿宋" w:eastAsia="仿宋" w:cs="仿宋"/>
          <w:kern w:val="1"/>
          <w:highlight w:val="none"/>
        </w:rPr>
      </w:pPr>
    </w:p>
    <w:p>
      <w:pPr>
        <w:widowControl/>
        <w:autoSpaceDE w:val="0"/>
        <w:autoSpaceDN w:val="0"/>
        <w:adjustRightInd w:val="0"/>
        <w:spacing w:line="440" w:lineRule="exact"/>
        <w:ind w:right="-482"/>
        <w:jc w:val="left"/>
        <w:rPr>
          <w:rFonts w:ascii="仿宋" w:hAnsi="仿宋" w:eastAsia="仿宋" w:cs="仿宋"/>
          <w:kern w:val="1"/>
          <w:highlight w:val="none"/>
        </w:rPr>
      </w:pPr>
    </w:p>
    <w:p>
      <w:pPr>
        <w:widowControl/>
        <w:autoSpaceDE w:val="0"/>
        <w:autoSpaceDN w:val="0"/>
        <w:adjustRightInd w:val="0"/>
        <w:spacing w:line="440" w:lineRule="exact"/>
        <w:ind w:right="-482"/>
        <w:jc w:val="left"/>
        <w:rPr>
          <w:rFonts w:ascii="仿宋" w:hAnsi="仿宋" w:eastAsia="仿宋" w:cs="仿宋"/>
          <w:kern w:val="1"/>
          <w:sz w:val="84"/>
          <w:szCs w:val="84"/>
          <w:highlight w:val="none"/>
        </w:rPr>
      </w:pPr>
    </w:p>
    <w:p>
      <w:pPr>
        <w:widowControl/>
        <w:autoSpaceDE w:val="0"/>
        <w:autoSpaceDN w:val="0"/>
        <w:adjustRightInd w:val="0"/>
        <w:ind w:right="-482"/>
        <w:jc w:val="center"/>
        <w:rPr>
          <w:rFonts w:ascii="仿宋" w:hAnsi="仿宋" w:eastAsia="仿宋" w:cs="仿宋"/>
          <w:b/>
          <w:bCs/>
          <w:sz w:val="84"/>
          <w:szCs w:val="84"/>
          <w:highlight w:val="none"/>
        </w:rPr>
      </w:pPr>
      <w:r>
        <w:rPr>
          <w:rFonts w:hint="eastAsia" w:ascii="仿宋" w:hAnsi="仿宋" w:eastAsia="仿宋" w:cs="仿宋"/>
          <w:b/>
          <w:bCs/>
          <w:sz w:val="84"/>
          <w:szCs w:val="84"/>
          <w:highlight w:val="none"/>
        </w:rPr>
        <w:t>投 标 文 件</w:t>
      </w:r>
    </w:p>
    <w:p>
      <w:pPr>
        <w:widowControl/>
        <w:autoSpaceDE w:val="0"/>
        <w:autoSpaceDN w:val="0"/>
        <w:adjustRightInd w:val="0"/>
        <w:ind w:right="-482"/>
        <w:jc w:val="left"/>
        <w:rPr>
          <w:rFonts w:ascii="仿宋" w:hAnsi="仿宋" w:eastAsia="仿宋" w:cs="仿宋"/>
          <w:b/>
          <w:bCs/>
          <w:sz w:val="21"/>
          <w:szCs w:val="21"/>
          <w:highlight w:val="none"/>
        </w:rPr>
      </w:pPr>
    </w:p>
    <w:p>
      <w:pPr>
        <w:widowControl/>
        <w:autoSpaceDE w:val="0"/>
        <w:autoSpaceDN w:val="0"/>
        <w:adjustRightInd w:val="0"/>
        <w:ind w:right="-482"/>
        <w:jc w:val="left"/>
        <w:rPr>
          <w:rFonts w:ascii="仿宋" w:hAnsi="仿宋" w:eastAsia="仿宋" w:cs="仿宋"/>
          <w:b/>
          <w:bCs/>
          <w:highlight w:val="none"/>
        </w:rPr>
      </w:pPr>
    </w:p>
    <w:p>
      <w:pPr>
        <w:widowControl/>
        <w:autoSpaceDE w:val="0"/>
        <w:autoSpaceDN w:val="0"/>
        <w:adjustRightInd w:val="0"/>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采购单位：中国石油大学（华东）</w:t>
      </w:r>
    </w:p>
    <w:p>
      <w:pPr>
        <w:widowControl/>
        <w:autoSpaceDE w:val="0"/>
        <w:autoSpaceDN w:val="0"/>
        <w:adjustRightInd w:val="0"/>
        <w:spacing w:line="480" w:lineRule="auto"/>
        <w:ind w:right="-482" w:firstLine="960" w:firstLineChars="300"/>
        <w:jc w:val="left"/>
        <w:rPr>
          <w:rFonts w:ascii="仿宋" w:hAnsi="仿宋" w:eastAsia="仿宋" w:cs="仿宋"/>
          <w:highlight w:val="none"/>
        </w:rPr>
      </w:pPr>
      <w:r>
        <w:rPr>
          <w:rFonts w:hint="eastAsia" w:ascii="仿宋" w:hAnsi="仿宋" w:eastAsia="仿宋" w:cs="仿宋"/>
          <w:sz w:val="32"/>
          <w:szCs w:val="32"/>
          <w:highlight w:val="none"/>
        </w:rPr>
        <w:t>项目名称：</w:t>
      </w:r>
      <w:r>
        <w:rPr>
          <w:rFonts w:hint="eastAsia" w:ascii="仿宋" w:hAnsi="仿宋" w:eastAsia="仿宋" w:cs="仿宋"/>
          <w:highlight w:val="none"/>
        </w:rPr>
        <w:t xml:space="preserve"> </w:t>
      </w: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 xml:space="preserve">项目编号： </w:t>
      </w: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供应商全称（盖公章）：</w:t>
      </w:r>
    </w:p>
    <w:p>
      <w:pPr>
        <w:widowControl/>
        <w:autoSpaceDE w:val="0"/>
        <w:autoSpaceDN w:val="0"/>
        <w:adjustRightInd w:val="0"/>
        <w:spacing w:line="480" w:lineRule="auto"/>
        <w:ind w:right="-482" w:firstLine="3040" w:firstLineChars="950"/>
        <w:jc w:val="left"/>
        <w:rPr>
          <w:rFonts w:ascii="仿宋" w:hAnsi="仿宋" w:eastAsia="仿宋" w:cs="仿宋"/>
          <w:sz w:val="32"/>
          <w:szCs w:val="32"/>
          <w:highlight w:val="none"/>
        </w:rPr>
      </w:pPr>
      <w:r>
        <w:rPr>
          <w:rFonts w:hint="eastAsia" w:ascii="仿宋" w:hAnsi="仿宋" w:eastAsia="仿宋" w:cs="仿宋"/>
          <w:sz w:val="32"/>
          <w:szCs w:val="32"/>
          <w:highlight w:val="none"/>
        </w:rPr>
        <w:t>二〇   年  月  日</w:t>
      </w:r>
    </w:p>
    <w:p>
      <w:pPr>
        <w:pStyle w:val="33"/>
        <w:spacing w:line="360" w:lineRule="auto"/>
        <w:outlineLvl w:val="1"/>
        <w:rPr>
          <w:rFonts w:ascii="仿宋" w:hAnsi="仿宋" w:eastAsia="仿宋" w:cs="仿宋"/>
          <w:b w:val="0"/>
          <w:sz w:val="28"/>
          <w:szCs w:val="28"/>
          <w:highlight w:val="none"/>
        </w:rPr>
      </w:pPr>
      <w:r>
        <w:rPr>
          <w:rFonts w:hint="eastAsia" w:ascii="仿宋" w:hAnsi="仿宋" w:eastAsia="仿宋" w:cs="仿宋"/>
          <w:b w:val="0"/>
          <w:bCs w:val="0"/>
          <w:kern w:val="1"/>
          <w:sz w:val="30"/>
          <w:szCs w:val="30"/>
          <w:highlight w:val="none"/>
        </w:rPr>
        <w:br w:type="page"/>
      </w:r>
      <w:bookmarkStart w:id="91" w:name="_Toc21897"/>
      <w:r>
        <w:rPr>
          <w:rFonts w:hint="eastAsia" w:ascii="仿宋" w:hAnsi="仿宋" w:eastAsia="仿宋" w:cs="仿宋"/>
          <w:b w:val="0"/>
          <w:sz w:val="28"/>
          <w:szCs w:val="28"/>
          <w:highlight w:val="none"/>
        </w:rPr>
        <w:t>附件2：投标函</w:t>
      </w:r>
      <w:bookmarkEnd w:id="91"/>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sz w:val="30"/>
          <w:szCs w:val="30"/>
          <w:highlight w:val="none"/>
        </w:rPr>
      </w:pPr>
      <w:r>
        <w:rPr>
          <w:rFonts w:hint="eastAsia" w:ascii="仿宋" w:hAnsi="仿宋" w:eastAsia="仿宋" w:cs="仿宋"/>
          <w:b/>
          <w:sz w:val="30"/>
          <w:szCs w:val="30"/>
          <w:highlight w:val="none"/>
        </w:rPr>
        <w:t>投 标 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中国石油大学（华东）：</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我方确认收到贵方提供的“中国石油大学（华东）******【项目编号SHSDZB2022-019】”的招标文件的全部内容。经研究，我们决定参加该项目的招标并报价。为此，我方郑重声明以下诸点，并负法律责任。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1、我方提交的投标文件，正本一份，副本四份。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2、如果我方的投标文件被接受，我们将履行招标文件中规定的每一项要求，并按我方投标文件中的承诺按期、保质、保量完成项目的实施。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3、我方已详细检查所有投标文件、附件以及所提供的参考文件，有模糊和误解产生的一切后果，由我方自负。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4、投标文件在公开报价后90日内有效。</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5、我们同意按照招标文件的要求，提供与提交投标文件有关的数据和资料。</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6、我方愿按《中华人民共和国民法典》履行自己的全部责任。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7、我们理解，最低报价不是中标的唯一条件，你们有选择中标人的权利。</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8.我方承诺：我方完全理解并同意在新型冠状病毒感染肺炎疫情防控期间贵校采用的招标方式，并对此产生的评审结果完全认可。</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9、与本报价有关所有往来信函，应按下列地址进行：</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地址：</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邮政编码：</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电话：</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传真：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投标人全称：</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33"/>
        <w:spacing w:line="360" w:lineRule="auto"/>
        <w:outlineLvl w:val="1"/>
        <w:rPr>
          <w:rFonts w:ascii="仿宋" w:hAnsi="仿宋" w:eastAsia="仿宋" w:cs="仿宋"/>
          <w:sz w:val="30"/>
          <w:szCs w:val="30"/>
          <w:highlight w:val="none"/>
        </w:rPr>
      </w:pPr>
      <w:r>
        <w:rPr>
          <w:rFonts w:hint="eastAsia" w:ascii="仿宋" w:hAnsi="仿宋" w:eastAsia="仿宋" w:cs="仿宋"/>
          <w:sz w:val="24"/>
          <w:szCs w:val="24"/>
          <w:highlight w:val="none"/>
        </w:rPr>
        <w:br w:type="page"/>
      </w:r>
      <w:bookmarkStart w:id="92" w:name="_Toc323129568"/>
      <w:bookmarkStart w:id="93" w:name="_Toc323130135"/>
      <w:bookmarkStart w:id="94" w:name="_Toc2776"/>
      <w:bookmarkStart w:id="95" w:name="_Toc325620729"/>
      <w:r>
        <w:rPr>
          <w:rFonts w:hint="eastAsia" w:ascii="仿宋" w:hAnsi="仿宋" w:eastAsia="仿宋" w:cs="仿宋"/>
          <w:b w:val="0"/>
          <w:sz w:val="28"/>
          <w:szCs w:val="28"/>
          <w:highlight w:val="none"/>
        </w:rPr>
        <w:t>附件</w:t>
      </w:r>
      <w:bookmarkEnd w:id="92"/>
      <w:bookmarkEnd w:id="93"/>
      <w:r>
        <w:rPr>
          <w:rFonts w:hint="eastAsia" w:ascii="仿宋" w:hAnsi="仿宋" w:eastAsia="仿宋" w:cs="仿宋"/>
          <w:b w:val="0"/>
          <w:sz w:val="28"/>
          <w:szCs w:val="28"/>
          <w:highlight w:val="none"/>
        </w:rPr>
        <w:t>3：法定代表人身份证明</w:t>
      </w:r>
      <w:bookmarkEnd w:id="94"/>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left"/>
        <w:rPr>
          <w:rFonts w:ascii="仿宋" w:hAnsi="仿宋" w:eastAsia="仿宋" w:cs="仿宋"/>
          <w:b/>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法定代表人身份证明</w:t>
      </w:r>
    </w:p>
    <w:p>
      <w:pPr>
        <w:widowControl/>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投标人名称：</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单位性质：</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地址：</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成立时间：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月</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＿日</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经营期限：</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姓名：</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性别：</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年龄：</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职务：</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_</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系</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（投标人名称）的法定代表人。</w:t>
      </w:r>
    </w:p>
    <w:p>
      <w:pPr>
        <w:widowControl/>
        <w:spacing w:line="360" w:lineRule="auto"/>
        <w:ind w:firstLine="960" w:firstLineChars="4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特此证明。</w:t>
      </w: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2611" w:firstLineChars="1088"/>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投标人：</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（投标人公章）</w:t>
      </w:r>
    </w:p>
    <w:p>
      <w:pPr>
        <w:widowControl/>
        <w:spacing w:line="360" w:lineRule="auto"/>
        <w:ind w:firstLine="5160" w:firstLineChars="2150"/>
        <w:jc w:val="left"/>
        <w:rPr>
          <w:rFonts w:ascii="仿宋" w:hAnsi="仿宋" w:eastAsia="仿宋" w:cs="仿宋"/>
          <w:kern w:val="0"/>
          <w:sz w:val="24"/>
          <w:szCs w:val="20"/>
          <w:highlight w:val="none"/>
          <w:u w:val="single"/>
        </w:rPr>
      </w:pPr>
    </w:p>
    <w:p>
      <w:pPr>
        <w:spacing w:line="280" w:lineRule="exact"/>
        <w:ind w:firstLine="3571" w:firstLineChars="1488"/>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月</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日</w:t>
      </w:r>
    </w:p>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kern w:val="0"/>
          <w:sz w:val="24"/>
          <w:szCs w:val="20"/>
          <w:highlight w:val="none"/>
        </w:rPr>
      </w:pPr>
    </w:p>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附：法定代表人身份证件</w:t>
      </w:r>
    </w:p>
    <w:tbl>
      <w:tblPr>
        <w:tblStyle w:val="36"/>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657"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法定代表人身份证（正面）</w:t>
            </w:r>
          </w:p>
        </w:tc>
        <w:tc>
          <w:tcPr>
            <w:tcW w:w="4657"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法定代表人身份证（反面）</w:t>
            </w:r>
          </w:p>
        </w:tc>
      </w:tr>
    </w:tbl>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highlight w:val="none"/>
        </w:rPr>
      </w:pPr>
      <w:r>
        <w:rPr>
          <w:rFonts w:hint="eastAsia" w:ascii="仿宋" w:hAnsi="仿宋" w:eastAsia="仿宋" w:cs="仿宋"/>
          <w:kern w:val="0"/>
          <w:sz w:val="24"/>
          <w:szCs w:val="20"/>
          <w:highlight w:val="none"/>
        </w:rPr>
        <w:t>注：此处所述“法定代表人”须与投标人“营业执照”上的内容一致。</w:t>
      </w:r>
    </w:p>
    <w:p>
      <w:pPr>
        <w:pStyle w:val="33"/>
        <w:spacing w:line="360" w:lineRule="auto"/>
        <w:outlineLvl w:val="1"/>
        <w:rPr>
          <w:rFonts w:ascii="仿宋" w:hAnsi="仿宋" w:eastAsia="仿宋" w:cs="仿宋"/>
          <w:b w:val="0"/>
          <w:sz w:val="28"/>
          <w:szCs w:val="28"/>
          <w:highlight w:val="none"/>
        </w:rPr>
      </w:pPr>
      <w:bookmarkStart w:id="96" w:name="_Toc21907"/>
      <w:r>
        <w:rPr>
          <w:rFonts w:hint="eastAsia" w:ascii="仿宋" w:hAnsi="仿宋" w:eastAsia="仿宋" w:cs="仿宋"/>
          <w:b w:val="0"/>
          <w:sz w:val="28"/>
          <w:szCs w:val="28"/>
          <w:highlight w:val="none"/>
        </w:rPr>
        <w:t>附件4：法定代表人授权委托书</w:t>
      </w:r>
      <w:bookmarkEnd w:id="95"/>
      <w:bookmarkEnd w:id="96"/>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b/>
          <w:bCs/>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pStyle w:val="17"/>
        <w:tabs>
          <w:tab w:val="left" w:pos="382"/>
        </w:tabs>
        <w:snapToGri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（投标人名称）法定代表人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，现授权委托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（单位名称）的</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（姓名、职务）为我公司全权代理人，以本公司的名义参加中国石油大学（华东）组织的本次招标项目，全权处理招标过程有关的一切事务。授权代理人在本项目执行过程中所签署的一切文件，我均予以承认。</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特此委托。</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全权代表姓名：     性别：     年龄：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单位：             部门：     职务</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日期：   年   月   日</w:t>
      </w:r>
      <w:bookmarkStart w:id="97" w:name="_Toc323129569"/>
      <w:bookmarkStart w:id="98" w:name="_Toc325620730"/>
      <w:bookmarkStart w:id="99" w:name="_Toc323130136"/>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widowControl/>
        <w:spacing w:line="360" w:lineRule="auto"/>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附：被授权人身份证件</w:t>
      </w:r>
    </w:p>
    <w:tbl>
      <w:tblPr>
        <w:tblStyle w:val="36"/>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1" w:hRule="atLeast"/>
          <w:jc w:val="center"/>
        </w:trPr>
        <w:tc>
          <w:tcPr>
            <w:tcW w:w="4533"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被授权人身份证件（正面）</w:t>
            </w:r>
          </w:p>
        </w:tc>
        <w:tc>
          <w:tcPr>
            <w:tcW w:w="4604"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被授权人身份证件（反面）</w:t>
            </w: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p>
    <w:p>
      <w:pPr>
        <w:pStyle w:val="33"/>
        <w:spacing w:line="360" w:lineRule="auto"/>
        <w:outlineLvl w:val="9"/>
        <w:rPr>
          <w:rFonts w:ascii="仿宋" w:hAnsi="仿宋" w:eastAsia="仿宋" w:cs="仿宋"/>
          <w:sz w:val="30"/>
          <w:szCs w:val="30"/>
          <w:highlight w:val="none"/>
        </w:rPr>
      </w:pPr>
    </w:p>
    <w:p>
      <w:pPr>
        <w:pStyle w:val="33"/>
        <w:spacing w:line="360" w:lineRule="auto"/>
        <w:outlineLvl w:val="9"/>
        <w:rPr>
          <w:rFonts w:ascii="仿宋" w:hAnsi="仿宋" w:eastAsia="仿宋" w:cs="仿宋"/>
          <w:sz w:val="30"/>
          <w:szCs w:val="30"/>
          <w:highlight w:val="none"/>
        </w:rPr>
        <w:sectPr>
          <w:headerReference r:id="rId5" w:type="default"/>
          <w:footerReference r:id="rId6" w:type="default"/>
          <w:pgSz w:w="11907" w:h="16840"/>
          <w:pgMar w:top="1418" w:right="1418" w:bottom="1247" w:left="1622" w:header="851" w:footer="851" w:gutter="0"/>
          <w:cols w:space="720" w:num="1"/>
          <w:docGrid w:linePitch="381" w:charSpace="-3931"/>
        </w:sectPr>
      </w:pPr>
    </w:p>
    <w:p>
      <w:pPr>
        <w:pStyle w:val="33"/>
        <w:spacing w:line="360" w:lineRule="auto"/>
        <w:outlineLvl w:val="1"/>
        <w:rPr>
          <w:rFonts w:ascii="仿宋" w:hAnsi="仿宋" w:eastAsia="仿宋" w:cs="仿宋"/>
          <w:b w:val="0"/>
          <w:sz w:val="28"/>
          <w:szCs w:val="28"/>
          <w:highlight w:val="none"/>
        </w:rPr>
      </w:pPr>
      <w:bookmarkStart w:id="100" w:name="_Toc31198"/>
      <w:r>
        <w:rPr>
          <w:rFonts w:hint="eastAsia" w:ascii="仿宋" w:hAnsi="仿宋" w:eastAsia="仿宋" w:cs="仿宋"/>
          <w:b w:val="0"/>
          <w:sz w:val="28"/>
          <w:szCs w:val="28"/>
          <w:highlight w:val="none"/>
        </w:rPr>
        <w:t>附件5：报价一览表</w:t>
      </w:r>
      <w:bookmarkEnd w:id="100"/>
    </w:p>
    <w:p>
      <w:pPr>
        <w:widowControl/>
        <w:jc w:val="left"/>
        <w:rPr>
          <w:rFonts w:ascii="仿宋" w:hAnsi="仿宋" w:eastAsia="仿宋" w:cs="仿宋"/>
          <w:b/>
          <w:sz w:val="30"/>
          <w:szCs w:val="30"/>
          <w:highlight w:val="none"/>
        </w:rPr>
      </w:pPr>
    </w:p>
    <w:p>
      <w:pPr>
        <w:jc w:val="center"/>
        <w:rPr>
          <w:rFonts w:ascii="仿宋" w:hAnsi="仿宋" w:eastAsia="仿宋" w:cs="仿宋"/>
          <w:b/>
          <w:sz w:val="30"/>
          <w:szCs w:val="30"/>
          <w:highlight w:val="none"/>
        </w:rPr>
      </w:pPr>
      <w:r>
        <w:rPr>
          <w:rFonts w:hint="eastAsia" w:ascii="仿宋" w:hAnsi="仿宋" w:eastAsia="仿宋" w:cs="仿宋"/>
          <w:b/>
          <w:sz w:val="30"/>
          <w:szCs w:val="30"/>
          <w:highlight w:val="none"/>
        </w:rPr>
        <w:t>报价一览表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rPr>
        <w:t xml:space="preserve">SHSDZB2022-019     </w:t>
      </w:r>
      <w:r>
        <w:rPr>
          <w:rFonts w:hint="eastAsia" w:ascii="仿宋" w:hAnsi="仿宋" w:eastAsia="仿宋" w:cs="仿宋"/>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ascii="仿宋" w:hAnsi="仿宋" w:eastAsia="仿宋" w:cs="仿宋"/>
          <w:sz w:val="24"/>
          <w:szCs w:val="24"/>
          <w:highlight w:val="none"/>
        </w:rPr>
        <w:t>项目名称</w:t>
      </w:r>
      <w:r>
        <w:rPr>
          <w:rFonts w:hint="eastAsia" w:ascii="仿宋" w:hAnsi="仿宋" w:eastAsia="仿宋" w:cs="仿宋"/>
          <w:sz w:val="24"/>
          <w:szCs w:val="24"/>
          <w:highlight w:val="none"/>
        </w:rPr>
        <w:t xml:space="preserve">：古镇口校区青年教师宿舍床及柜类家具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单位：</w:t>
      </w:r>
    </w:p>
    <w:p>
      <w:pPr>
        <w:pStyle w:val="2"/>
        <w:rPr>
          <w:highlight w:val="none"/>
        </w:rPr>
      </w:pPr>
    </w:p>
    <w:tbl>
      <w:tblPr>
        <w:tblStyle w:val="36"/>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5"/>
        <w:gridCol w:w="3367"/>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质保期</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到货期</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sz w:val="24"/>
                <w:szCs w:val="24"/>
                <w:highlight w:val="none"/>
              </w:rPr>
            </w:pPr>
            <w:r>
              <w:rPr>
                <w:rFonts w:hint="eastAsia" w:hAnsi="宋体" w:cs="Times New Roman"/>
                <w:sz w:val="24"/>
                <w:szCs w:val="24"/>
                <w:highlight w:val="none"/>
              </w:rPr>
              <w:t>年</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sz w:val="24"/>
                <w:szCs w:val="24"/>
                <w:highlight w:val="none"/>
              </w:rPr>
            </w:pPr>
            <w:r>
              <w:rPr>
                <w:rFonts w:hint="eastAsia" w:hAnsi="宋体" w:cs="Times New Roman"/>
                <w:sz w:val="24"/>
                <w:szCs w:val="24"/>
                <w:highlight w:val="none"/>
              </w:rPr>
              <w:t>天</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restart"/>
            <w:tcBorders>
              <w:top w:val="nil"/>
              <w:left w:val="single" w:color="auto" w:sz="4" w:space="0"/>
              <w:bottom w:val="single" w:color="auto" w:sz="4" w:space="0"/>
              <w:right w:val="single" w:color="auto" w:sz="4" w:space="0"/>
            </w:tcBorders>
            <w:vAlign w:val="center"/>
          </w:tcPr>
          <w:p>
            <w:pPr>
              <w:spacing w:line="440" w:lineRule="exact"/>
              <w:jc w:val="center"/>
              <w:rPr>
                <w:rFonts w:hAnsi="宋体"/>
                <w:sz w:val="24"/>
                <w:szCs w:val="24"/>
                <w:highlight w:val="none"/>
              </w:rPr>
            </w:pPr>
            <w:r>
              <w:rPr>
                <w:rFonts w:hint="eastAsia" w:hAnsi="宋体" w:cs="Times New Roman"/>
                <w:sz w:val="24"/>
                <w:szCs w:val="24"/>
                <w:highlight w:val="none"/>
              </w:rPr>
              <w:t>含税总报价（元）</w:t>
            </w: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sz w:val="24"/>
                <w:szCs w:val="24"/>
                <w:highlight w:val="none"/>
              </w:rPr>
            </w:pPr>
            <w:r>
              <w:rPr>
                <w:rFonts w:hint="eastAsia" w:hAnsi="宋体"/>
                <w:sz w:val="24"/>
                <w:szCs w:val="24"/>
                <w:highlight w:val="none"/>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Ansi="宋体"/>
                <w:sz w:val="24"/>
                <w:szCs w:val="24"/>
                <w:highlight w:val="none"/>
              </w:rPr>
            </w:pP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sz w:val="24"/>
                <w:szCs w:val="24"/>
                <w:highlight w:val="none"/>
              </w:rPr>
            </w:pPr>
            <w:r>
              <w:rPr>
                <w:rFonts w:hint="eastAsia" w:hAnsi="宋体"/>
                <w:sz w:val="24"/>
                <w:szCs w:val="24"/>
                <w:highlight w:val="none"/>
              </w:rPr>
              <w:t>大写（元）：</w:t>
            </w:r>
          </w:p>
        </w:tc>
      </w:tr>
    </w:tbl>
    <w:p>
      <w:pPr>
        <w:spacing w:line="400" w:lineRule="exact"/>
        <w:jc w:val="left"/>
        <w:rPr>
          <w:rFonts w:ascii="仿宋" w:hAnsi="仿宋" w:eastAsia="仿宋" w:cs="仿宋"/>
          <w:b/>
          <w:bCs/>
          <w:sz w:val="24"/>
          <w:szCs w:val="24"/>
          <w:highlight w:val="none"/>
        </w:rPr>
      </w:pPr>
    </w:p>
    <w:p>
      <w:pPr>
        <w:spacing w:line="400" w:lineRule="exact"/>
        <w:jc w:val="left"/>
        <w:rPr>
          <w:rFonts w:ascii="仿宋" w:hAnsi="仿宋" w:eastAsia="仿宋" w:cs="仿宋"/>
          <w:b/>
          <w:bCs/>
          <w:sz w:val="24"/>
          <w:szCs w:val="24"/>
          <w:highlight w:val="none"/>
        </w:rPr>
      </w:pPr>
    </w:p>
    <w:p>
      <w:pPr>
        <w:spacing w:line="400" w:lineRule="exact"/>
        <w:jc w:val="left"/>
        <w:rPr>
          <w:rFonts w:ascii="仿宋" w:hAnsi="仿宋" w:eastAsia="仿宋" w:cs="仿宋"/>
          <w:sz w:val="24"/>
          <w:szCs w:val="24"/>
          <w:highlight w:val="none"/>
        </w:rPr>
      </w:pPr>
      <w:r>
        <w:rPr>
          <w:rFonts w:hint="eastAsia" w:ascii="仿宋" w:hAnsi="仿宋" w:eastAsia="仿宋" w:cs="仿宋"/>
          <w:b/>
          <w:bCs/>
          <w:sz w:val="24"/>
          <w:szCs w:val="24"/>
          <w:highlight w:val="none"/>
        </w:rPr>
        <w:t>注：</w:t>
      </w:r>
      <w:r>
        <w:rPr>
          <w:rFonts w:hint="eastAsia" w:ascii="仿宋" w:hAnsi="仿宋" w:eastAsia="仿宋" w:cs="仿宋"/>
          <w:sz w:val="24"/>
          <w:szCs w:val="24"/>
          <w:highlight w:val="none"/>
        </w:rPr>
        <w:t>1.报价一览表必须由法定代表人或授权代表签字，并加盖单位公章；</w:t>
      </w:r>
    </w:p>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2.本表只能打印，不得手写，请完整、准确、清晰地填写表中内容；</w:t>
      </w:r>
    </w:p>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3.以上报价包含设备运输到货、卸货、培训及质保服务等所有相关费用（详见招标文件）。</w:t>
      </w:r>
    </w:p>
    <w:p>
      <w:pPr>
        <w:pStyle w:val="2"/>
        <w:rPr>
          <w:highlight w:val="none"/>
        </w:rPr>
      </w:pPr>
    </w:p>
    <w:p>
      <w:pPr>
        <w:rPr>
          <w:highlight w:val="none"/>
        </w:rPr>
      </w:pPr>
    </w:p>
    <w:p>
      <w:pPr>
        <w:pStyle w:val="2"/>
        <w:rPr>
          <w:highlight w:val="none"/>
        </w:rPr>
      </w:pPr>
    </w:p>
    <w:p>
      <w:pPr>
        <w:pStyle w:val="2"/>
        <w:rPr>
          <w:highlight w:val="none"/>
        </w:rPr>
      </w:pP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投标人名称（公章）：</w:t>
      </w: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投标人法定代表人或者被授权代表（签字）：</w:t>
      </w: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 xml:space="preserve">         日期：</w:t>
      </w:r>
    </w:p>
    <w:p>
      <w:pPr>
        <w:pStyle w:val="33"/>
        <w:spacing w:line="360" w:lineRule="auto"/>
        <w:outlineLvl w:val="1"/>
        <w:rPr>
          <w:rFonts w:ascii="仿宋" w:hAnsi="仿宋" w:eastAsia="仿宋" w:cs="仿宋"/>
          <w:sz w:val="30"/>
          <w:szCs w:val="30"/>
          <w:highlight w:val="none"/>
        </w:rPr>
        <w:sectPr>
          <w:pgSz w:w="11907" w:h="16840"/>
          <w:pgMar w:top="1418" w:right="1418" w:bottom="1247" w:left="1622" w:header="851" w:footer="851" w:gutter="0"/>
          <w:cols w:space="720" w:num="1"/>
          <w:docGrid w:linePitch="381" w:charSpace="-3931"/>
        </w:sectPr>
      </w:pPr>
    </w:p>
    <w:bookmarkEnd w:id="97"/>
    <w:bookmarkEnd w:id="98"/>
    <w:bookmarkEnd w:id="99"/>
    <w:p>
      <w:pPr>
        <w:pStyle w:val="33"/>
        <w:spacing w:line="360" w:lineRule="auto"/>
        <w:outlineLvl w:val="1"/>
        <w:rPr>
          <w:rFonts w:ascii="仿宋" w:hAnsi="仿宋" w:eastAsia="仿宋" w:cs="仿宋"/>
          <w:b w:val="0"/>
          <w:sz w:val="28"/>
          <w:szCs w:val="28"/>
          <w:highlight w:val="none"/>
        </w:rPr>
      </w:pPr>
      <w:bookmarkStart w:id="101" w:name="_Toc323130137"/>
      <w:bookmarkStart w:id="102" w:name="_Toc323129570"/>
      <w:bookmarkStart w:id="103" w:name="_Toc29238"/>
      <w:bookmarkStart w:id="104" w:name="_Toc325620731"/>
      <w:r>
        <w:rPr>
          <w:rFonts w:hint="eastAsia" w:ascii="仿宋" w:hAnsi="仿宋" w:eastAsia="仿宋" w:cs="仿宋"/>
          <w:b w:val="0"/>
          <w:sz w:val="28"/>
          <w:szCs w:val="28"/>
          <w:highlight w:val="none"/>
        </w:rPr>
        <w:t>附件</w:t>
      </w:r>
      <w:bookmarkEnd w:id="101"/>
      <w:bookmarkEnd w:id="102"/>
      <w:r>
        <w:rPr>
          <w:rFonts w:hint="eastAsia" w:ascii="仿宋" w:hAnsi="仿宋" w:eastAsia="仿宋" w:cs="仿宋"/>
          <w:b w:val="0"/>
          <w:sz w:val="28"/>
          <w:szCs w:val="28"/>
          <w:highlight w:val="none"/>
        </w:rPr>
        <w:t>6：报价明细表</w:t>
      </w:r>
      <w:bookmarkEnd w:id="103"/>
      <w:bookmarkEnd w:id="104"/>
    </w:p>
    <w:p>
      <w:pPr>
        <w:pStyle w:val="14"/>
        <w:spacing w:before="0" w:after="0" w:line="360" w:lineRule="auto"/>
        <w:ind w:right="378" w:rightChars="135"/>
        <w:jc w:val="center"/>
        <w:rPr>
          <w:rFonts w:ascii="仿宋" w:hAnsi="仿宋" w:eastAsia="仿宋" w:cs="仿宋"/>
          <w:b/>
          <w:sz w:val="30"/>
          <w:szCs w:val="30"/>
          <w:highlight w:val="none"/>
        </w:rPr>
      </w:pPr>
      <w:r>
        <w:rPr>
          <w:rFonts w:hint="eastAsia" w:ascii="仿宋" w:hAnsi="仿宋" w:eastAsia="仿宋" w:cs="仿宋"/>
          <w:b/>
          <w:sz w:val="30"/>
          <w:szCs w:val="30"/>
          <w:highlight w:val="none"/>
        </w:rPr>
        <w:t>报价明细表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u w:val="single"/>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rPr>
        <w:t xml:space="preserve">SHSDZB2022-019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单位：</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02"/>
        <w:gridCol w:w="850"/>
        <w:gridCol w:w="1219"/>
        <w:gridCol w:w="2349"/>
        <w:gridCol w:w="783"/>
        <w:gridCol w:w="797"/>
        <w:gridCol w:w="900"/>
        <w:gridCol w:w="72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651" w:type="dxa"/>
            <w:tcBorders>
              <w:bottom w:val="single" w:color="auto" w:sz="4" w:space="0"/>
            </w:tcBorders>
            <w:vAlign w:val="center"/>
          </w:tcPr>
          <w:p>
            <w:pPr>
              <w:tabs>
                <w:tab w:val="left" w:pos="1337"/>
              </w:tabs>
              <w:spacing w:line="360" w:lineRule="auto"/>
              <w:ind w:left="-42" w:right="-42"/>
              <w:jc w:val="left"/>
              <w:rPr>
                <w:rFonts w:ascii="仿宋" w:hAnsi="仿宋" w:eastAsia="仿宋" w:cs="仿宋"/>
                <w:bCs/>
                <w:sz w:val="24"/>
                <w:highlight w:val="none"/>
              </w:rPr>
            </w:pPr>
            <w:r>
              <w:rPr>
                <w:rFonts w:hint="eastAsia" w:ascii="仿宋" w:hAnsi="仿宋" w:eastAsia="仿宋" w:cs="仿宋"/>
                <w:bCs/>
                <w:sz w:val="24"/>
                <w:highlight w:val="none"/>
              </w:rPr>
              <w:t>序号</w:t>
            </w:r>
          </w:p>
        </w:tc>
        <w:tc>
          <w:tcPr>
            <w:tcW w:w="802"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货物名称</w:t>
            </w:r>
          </w:p>
        </w:tc>
        <w:tc>
          <w:tcPr>
            <w:tcW w:w="850" w:type="dxa"/>
            <w:tcBorders>
              <w:bottom w:val="single" w:color="auto" w:sz="4" w:space="0"/>
            </w:tcBorders>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品牌型号</w:t>
            </w:r>
          </w:p>
        </w:tc>
        <w:tc>
          <w:tcPr>
            <w:tcW w:w="1219" w:type="dxa"/>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生产厂家</w:t>
            </w:r>
          </w:p>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产地</w:t>
            </w:r>
          </w:p>
        </w:tc>
        <w:tc>
          <w:tcPr>
            <w:tcW w:w="2349" w:type="dxa"/>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技术规格</w:t>
            </w:r>
          </w:p>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（详细配置）</w:t>
            </w:r>
          </w:p>
        </w:tc>
        <w:tc>
          <w:tcPr>
            <w:tcW w:w="783" w:type="dxa"/>
            <w:tcBorders>
              <w:bottom w:val="single" w:color="auto" w:sz="4" w:space="0"/>
            </w:tcBorders>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单价</w:t>
            </w:r>
          </w:p>
        </w:tc>
        <w:tc>
          <w:tcPr>
            <w:tcW w:w="797"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数量</w:t>
            </w:r>
          </w:p>
        </w:tc>
        <w:tc>
          <w:tcPr>
            <w:tcW w:w="900"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总价</w:t>
            </w:r>
          </w:p>
        </w:tc>
        <w:tc>
          <w:tcPr>
            <w:tcW w:w="720"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质保</w:t>
            </w:r>
          </w:p>
        </w:tc>
        <w:tc>
          <w:tcPr>
            <w:tcW w:w="715"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ind w:left="-42" w:right="-42"/>
              <w:jc w:val="left"/>
              <w:rPr>
                <w:rFonts w:ascii="仿宋" w:hAnsi="仿宋" w:eastAsia="仿宋" w:cs="仿宋"/>
                <w:bCs/>
                <w:sz w:val="24"/>
                <w:highlight w:val="none"/>
              </w:rPr>
            </w:pPr>
          </w:p>
        </w:tc>
        <w:tc>
          <w:tcPr>
            <w:tcW w:w="2349" w:type="dxa"/>
            <w:vAlign w:val="center"/>
          </w:tcPr>
          <w:p>
            <w:pPr>
              <w:tabs>
                <w:tab w:val="left" w:pos="1337"/>
              </w:tabs>
              <w:spacing w:line="360" w:lineRule="auto"/>
              <w:ind w:left="-42" w:right="-42"/>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p>
    <w:p>
      <w:pPr>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注：1.技术规格应详细写明所投产品详细配置，严禁复制招标文件中的技术指标。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2.不得漏项。</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3.出现上述问题可视情况做无效投标。</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9"/>
        <w:rPr>
          <w:rFonts w:ascii="仿宋" w:hAnsi="仿宋" w:eastAsia="仿宋" w:cs="仿宋"/>
          <w:sz w:val="24"/>
          <w:szCs w:val="24"/>
          <w:highlight w:val="none"/>
        </w:rPr>
      </w:pPr>
    </w:p>
    <w:p>
      <w:pPr>
        <w:pStyle w:val="33"/>
        <w:spacing w:line="360" w:lineRule="auto"/>
        <w:outlineLvl w:val="1"/>
        <w:rPr>
          <w:rFonts w:ascii="仿宋" w:hAnsi="仿宋" w:eastAsia="仿宋" w:cs="仿宋"/>
          <w:b w:val="0"/>
          <w:sz w:val="28"/>
          <w:szCs w:val="28"/>
          <w:highlight w:val="none"/>
        </w:rPr>
      </w:pPr>
      <w:bookmarkStart w:id="105" w:name="_Toc16755"/>
      <w:bookmarkStart w:id="106" w:name="_Toc323130139"/>
      <w:bookmarkStart w:id="107" w:name="_Toc325620733"/>
      <w:bookmarkStart w:id="108" w:name="_Toc323129572"/>
      <w:r>
        <w:rPr>
          <w:rFonts w:hint="eastAsia" w:ascii="仿宋" w:hAnsi="仿宋" w:eastAsia="仿宋" w:cs="仿宋"/>
          <w:b w:val="0"/>
          <w:sz w:val="28"/>
          <w:szCs w:val="28"/>
          <w:highlight w:val="none"/>
        </w:rPr>
        <w:t>附件7：备品备件报价表</w:t>
      </w:r>
      <w:bookmarkEnd w:id="105"/>
    </w:p>
    <w:p>
      <w:pPr>
        <w:pStyle w:val="14"/>
        <w:spacing w:before="0" w:after="0" w:line="360" w:lineRule="auto"/>
        <w:ind w:right="378" w:rightChars="135"/>
        <w:jc w:val="center"/>
        <w:rPr>
          <w:rFonts w:ascii="仿宋" w:hAnsi="仿宋" w:eastAsia="仿宋" w:cs="仿宋"/>
          <w:b/>
          <w:sz w:val="30"/>
          <w:szCs w:val="30"/>
          <w:highlight w:val="none"/>
        </w:rPr>
      </w:pPr>
      <w:r>
        <w:rPr>
          <w:rFonts w:hint="eastAsia" w:ascii="仿宋" w:hAnsi="仿宋" w:eastAsia="仿宋" w:cs="仿宋"/>
          <w:b/>
          <w:sz w:val="30"/>
          <w:szCs w:val="30"/>
          <w:highlight w:val="none"/>
        </w:rPr>
        <w:t>备品备件报价表</w:t>
      </w:r>
    </w:p>
    <w:p>
      <w:pPr>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质保期内提供的随机备件，计入投标总价：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jc w:val="left"/>
        <w:rPr>
          <w:rFonts w:ascii="仿宋" w:hAnsi="仿宋" w:eastAsia="仿宋" w:cs="仿宋"/>
          <w:sz w:val="24"/>
          <w:szCs w:val="24"/>
          <w:highlight w:val="none"/>
        </w:rPr>
      </w:pPr>
    </w:p>
    <w:p>
      <w:pPr>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推荐的质保期后5年所需的备件价格，不计入投标总价：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jc w:val="left"/>
        <w:rPr>
          <w:rFonts w:ascii="仿宋" w:hAnsi="仿宋" w:eastAsia="仿宋" w:cs="仿宋"/>
          <w:sz w:val="24"/>
          <w:szCs w:val="24"/>
          <w:highlight w:val="none"/>
        </w:rPr>
      </w:pPr>
    </w:p>
    <w:p>
      <w:pPr>
        <w:pStyle w:val="14"/>
        <w:spacing w:before="0" w:after="0" w:line="360" w:lineRule="auto"/>
        <w:ind w:right="378" w:rightChars="135"/>
        <w:jc w:val="left"/>
        <w:rPr>
          <w:rFonts w:ascii="仿宋" w:hAnsi="仿宋" w:eastAsia="仿宋" w:cs="仿宋"/>
          <w:sz w:val="28"/>
          <w:szCs w:val="28"/>
          <w:highlight w:val="none"/>
        </w:rPr>
      </w:pPr>
      <w:bookmarkStart w:id="109" w:name="_Toc324067100"/>
      <w:r>
        <w:rPr>
          <w:rFonts w:hint="eastAsia" w:ascii="仿宋" w:hAnsi="仿宋" w:eastAsia="仿宋" w:cs="仿宋"/>
          <w:sz w:val="28"/>
          <w:szCs w:val="28"/>
          <w:highlight w:val="none"/>
        </w:rPr>
        <w:tab/>
      </w:r>
      <w:r>
        <w:rPr>
          <w:rFonts w:hint="eastAsia" w:ascii="仿宋" w:hAnsi="仿宋" w:eastAsia="仿宋" w:cs="仿宋"/>
          <w:sz w:val="28"/>
          <w:szCs w:val="28"/>
          <w:highlight w:val="none"/>
        </w:rPr>
        <w:t>专用工器具及测试仪器报价表</w:t>
      </w:r>
      <w:bookmarkEnd w:id="109"/>
      <w:r>
        <w:rPr>
          <w:rFonts w:hint="eastAsia" w:ascii="仿宋" w:hAnsi="仿宋" w:eastAsia="仿宋" w:cs="仿宋"/>
          <w:sz w:val="28"/>
          <w:szCs w:val="28"/>
          <w:highlight w:val="none"/>
        </w:rPr>
        <w:t>（计入投标总价）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ind w:hanging="1"/>
        <w:jc w:val="left"/>
        <w:rPr>
          <w:rFonts w:ascii="仿宋" w:hAnsi="仿宋" w:eastAsia="仿宋" w:cs="仿宋"/>
          <w:sz w:val="24"/>
          <w:szCs w:val="24"/>
          <w:highlight w:val="none"/>
        </w:rPr>
      </w:pP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日期：</w:t>
      </w:r>
    </w:p>
    <w:p>
      <w:pPr>
        <w:jc w:val="left"/>
        <w:rPr>
          <w:rFonts w:ascii="仿宋" w:hAnsi="仿宋" w:eastAsia="仿宋" w:cs="仿宋"/>
          <w:highlight w:val="none"/>
        </w:rPr>
      </w:pPr>
    </w:p>
    <w:p>
      <w:pPr>
        <w:jc w:val="left"/>
        <w:rPr>
          <w:rFonts w:ascii="仿宋" w:hAnsi="仿宋" w:eastAsia="仿宋" w:cs="仿宋"/>
          <w:highlight w:val="none"/>
        </w:rPr>
      </w:pPr>
    </w:p>
    <w:bookmarkEnd w:id="106"/>
    <w:bookmarkEnd w:id="107"/>
    <w:bookmarkEnd w:id="108"/>
    <w:p>
      <w:pPr>
        <w:pStyle w:val="33"/>
        <w:spacing w:line="360" w:lineRule="auto"/>
        <w:outlineLvl w:val="1"/>
        <w:rPr>
          <w:rFonts w:ascii="仿宋" w:hAnsi="仿宋" w:eastAsia="仿宋" w:cs="仿宋"/>
          <w:b w:val="0"/>
          <w:sz w:val="28"/>
          <w:szCs w:val="28"/>
          <w:highlight w:val="none"/>
        </w:rPr>
      </w:pPr>
      <w:bookmarkStart w:id="110" w:name="_Toc13087"/>
      <w:bookmarkStart w:id="111" w:name="_Toc500862827"/>
      <w:r>
        <w:rPr>
          <w:rFonts w:hint="eastAsia" w:ascii="仿宋" w:hAnsi="仿宋" w:eastAsia="仿宋" w:cs="仿宋"/>
          <w:b w:val="0"/>
          <w:sz w:val="28"/>
          <w:szCs w:val="28"/>
          <w:highlight w:val="none"/>
        </w:rPr>
        <w:t>附件8：投标人资格声明书</w:t>
      </w:r>
      <w:bookmarkEnd w:id="110"/>
      <w:bookmarkEnd w:id="111"/>
    </w:p>
    <w:p>
      <w:pPr>
        <w:spacing w:line="480" w:lineRule="exact"/>
        <w:ind w:firstLine="3188" w:firstLineChars="1323"/>
        <w:jc w:val="left"/>
        <w:rPr>
          <w:rFonts w:ascii="仿宋" w:hAnsi="仿宋" w:eastAsia="仿宋" w:cs="仿宋"/>
          <w:b/>
          <w:sz w:val="24"/>
          <w:szCs w:val="24"/>
          <w:highlight w:val="none"/>
        </w:rPr>
      </w:pPr>
      <w:bookmarkStart w:id="112" w:name="投标人资格声明书"/>
      <w:r>
        <w:rPr>
          <w:rFonts w:hint="eastAsia" w:ascii="仿宋" w:hAnsi="仿宋" w:eastAsia="仿宋" w:cs="仿宋"/>
          <w:b/>
          <w:sz w:val="24"/>
          <w:szCs w:val="24"/>
          <w:highlight w:val="none"/>
        </w:rPr>
        <w:t>投标人资格声明书</w:t>
      </w:r>
    </w:p>
    <w:bookmarkEnd w:id="112"/>
    <w:p>
      <w:pPr>
        <w:spacing w:line="48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致中国石油大学（华东）：</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为响应你方组织的“中国石油大学（华东）******【项目编号：SHSDZB2022-019】”的招标，我方愿意参与投标，并作出以下声明：</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我方作为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（投标人名称）提供“用户需求书”中的货物或服务，同时声明具备《中华人民共和国政府采购法》第二十二条规定的条件：</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（一）具有独立承担民事责任的能力；</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（二）具有良好的商业信誉和健全的财务会计制度；</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（三）具有履行合同所必需的设备和专业技术能力；</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（四）有依法缴纳税收和社会保障资金的良好记录；</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（五）参加政府采购活动前三年内，在经营活动中没有重大违法记录；</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（六）法律、行政法规规定的其他条件。</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我方保证提交的所有文件和全部说明是真实的和正确的，理解你方可能还要求提供更进一步的资格证明资料，并愿意应你方要求提交。投标人基本情况如下：</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（1）投标人名称：</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u w:val="single"/>
        </w:rPr>
      </w:pPr>
      <w:r>
        <w:rPr>
          <w:rFonts w:hint="eastAsia" w:ascii="仿宋" w:hAnsi="仿宋" w:eastAsia="仿宋" w:cs="仿宋"/>
          <w:sz w:val="24"/>
          <w:szCs w:val="24"/>
          <w:highlight w:val="none"/>
        </w:rPr>
        <w:t xml:space="preserve">（2）注册地址：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邮编： </w:t>
      </w:r>
      <w:r>
        <w:rPr>
          <w:rFonts w:hint="eastAsia" w:ascii="仿宋" w:hAnsi="仿宋" w:eastAsia="仿宋" w:cs="仿宋"/>
          <w:sz w:val="24"/>
          <w:szCs w:val="24"/>
          <w:highlight w:val="none"/>
          <w:u w:val="single"/>
        </w:rPr>
        <w:t xml:space="preserve">                  </w:t>
      </w:r>
    </w:p>
    <w:p>
      <w:pPr>
        <w:spacing w:line="480" w:lineRule="exact"/>
        <w:ind w:firstLine="1096" w:firstLineChars="457"/>
        <w:jc w:val="left"/>
        <w:rPr>
          <w:rFonts w:ascii="仿宋" w:hAnsi="仿宋" w:eastAsia="仿宋" w:cs="仿宋"/>
          <w:sz w:val="24"/>
          <w:szCs w:val="24"/>
          <w:highlight w:val="none"/>
        </w:rPr>
      </w:pPr>
      <w:r>
        <w:rPr>
          <w:rFonts w:hint="eastAsia" w:ascii="仿宋" w:hAnsi="仿宋" w:eastAsia="仿宋" w:cs="仿宋"/>
          <w:sz w:val="24"/>
          <w:szCs w:val="24"/>
          <w:highlight w:val="none"/>
        </w:rPr>
        <w:t>电   话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传   真：</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（3）成立或注册日期： </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（4）公司性质：</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（5）法定代表人或主要负责人：</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（6）职员人数：</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（7）注册资本： </w:t>
      </w:r>
      <w:r>
        <w:rPr>
          <w:rFonts w:hint="eastAsia" w:ascii="仿宋" w:hAnsi="仿宋" w:eastAsia="仿宋" w:cs="仿宋"/>
          <w:sz w:val="24"/>
          <w:szCs w:val="24"/>
          <w:highlight w:val="none"/>
          <w:u w:val="single"/>
        </w:rPr>
        <w:t xml:space="preserve">                                </w:t>
      </w:r>
    </w:p>
    <w:p>
      <w:pPr>
        <w:spacing w:line="44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spacing w:line="440" w:lineRule="exact"/>
        <w:ind w:firstLine="435"/>
        <w:jc w:val="left"/>
        <w:rPr>
          <w:rFonts w:ascii="仿宋" w:hAnsi="仿宋" w:eastAsia="仿宋" w:cs="仿宋"/>
          <w:sz w:val="24"/>
          <w:szCs w:val="24"/>
          <w:highlight w:val="none"/>
        </w:rPr>
      </w:pPr>
    </w:p>
    <w:p>
      <w:pPr>
        <w:spacing w:line="440" w:lineRule="exact"/>
        <w:ind w:firstLine="435"/>
        <w:jc w:val="left"/>
        <w:rPr>
          <w:rFonts w:ascii="仿宋" w:hAnsi="仿宋" w:eastAsia="仿宋" w:cs="仿宋"/>
          <w:sz w:val="24"/>
          <w:szCs w:val="24"/>
          <w:highlight w:val="none"/>
        </w:rPr>
      </w:pPr>
    </w:p>
    <w:p>
      <w:pPr>
        <w:spacing w:line="440" w:lineRule="exact"/>
        <w:ind w:firstLine="2760" w:firstLineChars="11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435"/>
        <w:jc w:val="left"/>
        <w:rPr>
          <w:rFonts w:ascii="仿宋" w:hAnsi="仿宋" w:eastAsia="仿宋" w:cs="仿宋"/>
          <w:sz w:val="21"/>
          <w:szCs w:val="24"/>
          <w:highlight w:val="none"/>
        </w:rPr>
      </w:pPr>
      <w:r>
        <w:rPr>
          <w:rFonts w:hint="eastAsia" w:ascii="仿宋" w:hAnsi="仿宋" w:eastAsia="仿宋" w:cs="仿宋"/>
          <w:kern w:val="1"/>
          <w:sz w:val="24"/>
          <w:szCs w:val="24"/>
          <w:highlight w:val="none"/>
        </w:rPr>
        <w:t xml:space="preserve">        投标人法定代表人或者被授权代表（签字）：</w:t>
      </w:r>
      <w:r>
        <w:rPr>
          <w:rFonts w:hint="eastAsia" w:ascii="仿宋" w:hAnsi="仿宋" w:eastAsia="仿宋" w:cs="仿宋"/>
          <w:sz w:val="24"/>
          <w:szCs w:val="24"/>
          <w:highlight w:val="none"/>
        </w:rPr>
        <w:t xml:space="preserve"> </w:t>
      </w:r>
      <w:r>
        <w:rPr>
          <w:rFonts w:hint="eastAsia" w:ascii="仿宋" w:hAnsi="仿宋" w:eastAsia="仿宋" w:cs="仿宋"/>
          <w:sz w:val="21"/>
          <w:szCs w:val="24"/>
          <w:highlight w:val="none"/>
        </w:rPr>
        <w:t xml:space="preserve">      </w:t>
      </w:r>
    </w:p>
    <w:p>
      <w:pPr>
        <w:spacing w:line="440" w:lineRule="exact"/>
        <w:ind w:firstLine="2730" w:firstLineChars="1300"/>
        <w:jc w:val="left"/>
        <w:rPr>
          <w:rFonts w:ascii="仿宋" w:hAnsi="仿宋" w:eastAsia="仿宋" w:cs="仿宋"/>
          <w:b/>
          <w:bCs/>
          <w:sz w:val="24"/>
          <w:szCs w:val="24"/>
          <w:highlight w:val="none"/>
        </w:rPr>
      </w:pPr>
      <w:r>
        <w:rPr>
          <w:rFonts w:hint="eastAsia" w:ascii="仿宋" w:hAnsi="仿宋" w:eastAsia="仿宋" w:cs="仿宋"/>
          <w:sz w:val="21"/>
          <w:szCs w:val="24"/>
          <w:highlight w:val="none"/>
        </w:rPr>
        <w:t>日期：</w:t>
      </w:r>
    </w:p>
    <w:p>
      <w:pPr>
        <w:pStyle w:val="33"/>
        <w:spacing w:line="360" w:lineRule="auto"/>
        <w:outlineLvl w:val="1"/>
        <w:rPr>
          <w:rFonts w:ascii="仿宋" w:hAnsi="仿宋" w:eastAsia="仿宋" w:cs="仿宋"/>
          <w:b w:val="0"/>
          <w:sz w:val="28"/>
          <w:szCs w:val="28"/>
          <w:highlight w:val="none"/>
        </w:rPr>
      </w:pPr>
      <w:bookmarkStart w:id="113" w:name="_Toc26465"/>
      <w:bookmarkStart w:id="114" w:name="_Toc500862828"/>
      <w:r>
        <w:rPr>
          <w:rFonts w:hint="eastAsia" w:ascii="仿宋" w:hAnsi="仿宋" w:eastAsia="仿宋" w:cs="仿宋"/>
          <w:b w:val="0"/>
          <w:sz w:val="28"/>
          <w:szCs w:val="28"/>
          <w:highlight w:val="none"/>
        </w:rPr>
        <w:t>附件9：提供生产厂家授权承诺函</w:t>
      </w:r>
      <w:bookmarkEnd w:id="113"/>
      <w:bookmarkEnd w:id="114"/>
    </w:p>
    <w:p>
      <w:pPr>
        <w:spacing w:line="480" w:lineRule="exact"/>
        <w:jc w:val="center"/>
        <w:rPr>
          <w:rFonts w:ascii="仿宋" w:hAnsi="仿宋" w:eastAsia="仿宋" w:cs="仿宋"/>
          <w:b/>
          <w:szCs w:val="24"/>
          <w:highlight w:val="none"/>
        </w:rPr>
      </w:pPr>
      <w:r>
        <w:rPr>
          <w:rFonts w:hint="eastAsia" w:ascii="仿宋" w:hAnsi="仿宋" w:eastAsia="仿宋" w:cs="仿宋"/>
          <w:b/>
          <w:szCs w:val="24"/>
          <w:highlight w:val="none"/>
        </w:rPr>
        <w:t>关于中标后提供制造商授权函的承诺函</w:t>
      </w:r>
    </w:p>
    <w:p>
      <w:pPr>
        <w:rPr>
          <w:highlight w:val="none"/>
        </w:rPr>
      </w:pPr>
    </w:p>
    <w:p>
      <w:pPr>
        <w:spacing w:line="48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致：中国石油大学（华东）</w:t>
      </w:r>
    </w:p>
    <w:p>
      <w:pPr>
        <w:spacing w:line="48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我方作为所投标货物（国产）的代理商，完全明白并接受招标人关于提交制造商授权函和原厂售后服务承诺函的要求和规定，如我方为拟中标人，承诺签订合同时提交由所投货物的生产厂家有效签署的书面授权函，并提供原厂售后服务承诺函（如招标文件有要求），</w:t>
      </w:r>
      <w:r>
        <w:rPr>
          <w:rFonts w:hint="eastAsia" w:ascii="仿宋" w:hAnsi="仿宋" w:eastAsia="仿宋" w:cs="仿宋"/>
          <w:b/>
          <w:kern w:val="0"/>
          <w:sz w:val="24"/>
          <w:szCs w:val="24"/>
          <w:highlight w:val="none"/>
        </w:rPr>
        <w:t>否则按照我方投标文件未真实响应招标文件实质性要求，认定我方虚假响应招标文件</w:t>
      </w:r>
      <w:r>
        <w:rPr>
          <w:rFonts w:hint="eastAsia" w:ascii="仿宋" w:hAnsi="仿宋" w:eastAsia="仿宋" w:cs="仿宋"/>
          <w:b/>
          <w:sz w:val="24"/>
          <w:szCs w:val="24"/>
          <w:highlight w:val="none"/>
        </w:rPr>
        <w:t>。</w:t>
      </w:r>
      <w:r>
        <w:rPr>
          <w:rFonts w:hint="eastAsia" w:ascii="仿宋" w:hAnsi="仿宋" w:eastAsia="仿宋" w:cs="仿宋"/>
          <w:sz w:val="24"/>
          <w:szCs w:val="24"/>
          <w:highlight w:val="none"/>
        </w:rPr>
        <w:t>同时接受中国石油大学（华东）将我方列入不良行为供应商名单。</w:t>
      </w:r>
    </w:p>
    <w:p>
      <w:pPr>
        <w:spacing w:line="48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如你方可能还要求进一步提供生产厂家有关本项目的其他承诺、证明、背书等书面文本，我方愿意应你方要求积极配合并提交。</w:t>
      </w:r>
    </w:p>
    <w:p>
      <w:pPr>
        <w:spacing w:line="480" w:lineRule="exact"/>
        <w:ind w:firstLine="480"/>
        <w:jc w:val="left"/>
        <w:rPr>
          <w:rFonts w:ascii="仿宋" w:hAnsi="仿宋" w:eastAsia="仿宋" w:cs="仿宋"/>
          <w:sz w:val="24"/>
          <w:szCs w:val="24"/>
          <w:highlight w:val="none"/>
        </w:rPr>
      </w:pPr>
    </w:p>
    <w:p>
      <w:pPr>
        <w:spacing w:line="5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特此承诺！</w:t>
      </w:r>
    </w:p>
    <w:p>
      <w:pPr>
        <w:spacing w:line="500" w:lineRule="exact"/>
        <w:ind w:firstLine="420" w:firstLineChars="200"/>
        <w:jc w:val="left"/>
        <w:rPr>
          <w:rFonts w:ascii="仿宋" w:hAnsi="仿宋" w:eastAsia="仿宋" w:cs="仿宋"/>
          <w:sz w:val="21"/>
          <w:szCs w:val="24"/>
          <w:highlight w:val="none"/>
        </w:rPr>
      </w:pPr>
    </w:p>
    <w:p>
      <w:pPr>
        <w:widowControl/>
        <w:autoSpaceDE w:val="0"/>
        <w:autoSpaceDN w:val="0"/>
        <w:adjustRightInd w:val="0"/>
        <w:spacing w:line="440" w:lineRule="exact"/>
        <w:ind w:right="-481" w:firstLine="2880" w:firstLineChars="1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2880" w:firstLineChars="1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right="-481" w:firstLine="2880" w:firstLineChars="1200"/>
        <w:jc w:val="left"/>
        <w:rPr>
          <w:rFonts w:ascii="仿宋" w:hAnsi="仿宋" w:eastAsia="仿宋" w:cs="仿宋"/>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r>
        <w:rPr>
          <w:rFonts w:hint="eastAsia" w:ascii="仿宋" w:hAnsi="仿宋" w:eastAsia="仿宋" w:cs="仿宋"/>
          <w:b w:val="0"/>
          <w:sz w:val="28"/>
          <w:szCs w:val="28"/>
          <w:highlight w:val="none"/>
        </w:rPr>
        <w:br w:type="page"/>
      </w:r>
      <w:bookmarkStart w:id="115" w:name="_Toc30840"/>
      <w:bookmarkStart w:id="116" w:name="_Toc500862829"/>
      <w:r>
        <w:rPr>
          <w:rFonts w:hint="eastAsia" w:ascii="仿宋" w:hAnsi="仿宋" w:eastAsia="仿宋" w:cs="仿宋"/>
          <w:b w:val="0"/>
          <w:sz w:val="28"/>
          <w:szCs w:val="28"/>
          <w:highlight w:val="none"/>
        </w:rPr>
        <w:t>附件10：技术响应/偏离表</w:t>
      </w:r>
      <w:bookmarkEnd w:id="115"/>
      <w:bookmarkEnd w:id="116"/>
    </w:p>
    <w:p>
      <w:pPr>
        <w:spacing w:beforeLines="50" w:afterLines="50" w:line="480" w:lineRule="exact"/>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技术响应/偏离表</w:t>
      </w:r>
    </w:p>
    <w:tbl>
      <w:tblPr>
        <w:tblStyle w:val="36"/>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868"/>
        <w:gridCol w:w="5479"/>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0" w:type="auto"/>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序号</w:t>
            </w:r>
          </w:p>
        </w:tc>
        <w:tc>
          <w:tcPr>
            <w:tcW w:w="1868"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招标文件要求</w:t>
            </w:r>
          </w:p>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（详见“用户需求书”）</w:t>
            </w:r>
          </w:p>
        </w:tc>
        <w:tc>
          <w:tcPr>
            <w:tcW w:w="5479"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投标文件响应</w:t>
            </w:r>
          </w:p>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（逐项明确应答）</w:t>
            </w:r>
          </w:p>
        </w:tc>
        <w:tc>
          <w:tcPr>
            <w:tcW w:w="1333"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1</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r>
              <w:rPr>
                <w:rFonts w:hint="eastAsia" w:ascii="仿宋" w:hAnsi="仿宋" w:eastAsia="仿宋" w:cs="仿宋"/>
                <w:sz w:val="21"/>
                <w:szCs w:val="24"/>
                <w:highlight w:val="none"/>
              </w:rPr>
              <w:t>（应答提示：投标人填写时请勿简单复制招标文件技术规格，重要技术参数应当提供证明材料，如技术指标为具体数值的，不得模糊描述，否则视为未响应。）</w:t>
            </w: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2</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3</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4</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5</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6</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bl>
    <w:p>
      <w:pPr>
        <w:widowControl/>
        <w:autoSpaceDE w:val="0"/>
        <w:autoSpaceDN w:val="0"/>
        <w:adjustRightInd w:val="0"/>
        <w:spacing w:line="440" w:lineRule="exact"/>
        <w:ind w:firstLine="480" w:firstLineChars="200"/>
        <w:jc w:val="left"/>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注：</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sz w:val="24"/>
          <w:szCs w:val="24"/>
          <w:highlight w:val="none"/>
          <w:lang w:val="zh-CN"/>
        </w:rPr>
        <w:t>1.投标人应根据投标设备的性能指标,对照招标文件技术指标要求，如实逐条一一对应填写响应情况，如有未响应技术指标，评标委员会有权视其为负偏离；</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2.请投标人在“偏离情况”一栏详细描述存在正偏离或负偏离技术指标，并标明偏离情况；</w:t>
      </w:r>
    </w:p>
    <w:p>
      <w:pPr>
        <w:widowControl/>
        <w:autoSpaceDE w:val="0"/>
        <w:autoSpaceDN w:val="0"/>
        <w:adjustRightInd w:val="0"/>
        <w:spacing w:line="440" w:lineRule="exact"/>
        <w:ind w:firstLine="480" w:firstLineChars="200"/>
        <w:jc w:val="left"/>
        <w:rPr>
          <w:rFonts w:ascii="仿宋" w:hAnsi="仿宋" w:eastAsia="仿宋" w:cs="仿宋"/>
          <w:sz w:val="24"/>
          <w:szCs w:val="24"/>
          <w:highlight w:val="none"/>
          <w:lang w:val="zh-CN"/>
        </w:rPr>
      </w:pPr>
      <w:r>
        <w:rPr>
          <w:rFonts w:hint="eastAsia" w:ascii="仿宋" w:hAnsi="仿宋" w:eastAsia="仿宋" w:cs="仿宋"/>
          <w:kern w:val="1"/>
          <w:sz w:val="24"/>
          <w:szCs w:val="24"/>
          <w:highlight w:val="none"/>
        </w:rPr>
        <w:t>3.</w:t>
      </w:r>
      <w:r>
        <w:rPr>
          <w:rFonts w:hint="eastAsia" w:ascii="仿宋" w:hAnsi="仿宋" w:eastAsia="仿宋" w:cs="仿宋"/>
          <w:sz w:val="24"/>
          <w:szCs w:val="24"/>
          <w:highlight w:val="none"/>
          <w:lang w:val="zh-CN"/>
        </w:rPr>
        <w:t>招标文件技术指标未做要求的，不视为正偏离。</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p>
    <w:p>
      <w:pPr>
        <w:widowControl/>
        <w:autoSpaceDE w:val="0"/>
        <w:autoSpaceDN w:val="0"/>
        <w:adjustRightInd w:val="0"/>
        <w:spacing w:line="440" w:lineRule="exact"/>
        <w:ind w:right="-481"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bookmarkStart w:id="117" w:name="_Toc500862830"/>
      <w:bookmarkStart w:id="118" w:name="_Toc7821"/>
      <w:r>
        <w:rPr>
          <w:rFonts w:hint="eastAsia" w:ascii="仿宋" w:hAnsi="仿宋" w:eastAsia="仿宋" w:cs="仿宋"/>
          <w:b w:val="0"/>
          <w:sz w:val="28"/>
          <w:szCs w:val="28"/>
          <w:highlight w:val="none"/>
        </w:rPr>
        <w:t>附件11：商务偏离表</w:t>
      </w:r>
      <w:bookmarkEnd w:id="117"/>
      <w:bookmarkEnd w:id="118"/>
    </w:p>
    <w:p>
      <w:pPr>
        <w:spacing w:line="480" w:lineRule="exact"/>
        <w:jc w:val="center"/>
        <w:rPr>
          <w:rFonts w:ascii="仿宋" w:hAnsi="仿宋" w:eastAsia="仿宋" w:cs="仿宋"/>
          <w:b/>
          <w:bCs/>
          <w:sz w:val="30"/>
          <w:szCs w:val="24"/>
          <w:highlight w:val="none"/>
        </w:rPr>
      </w:pPr>
      <w:r>
        <w:rPr>
          <w:rFonts w:hint="eastAsia" w:ascii="仿宋" w:hAnsi="仿宋" w:eastAsia="仿宋" w:cs="仿宋"/>
          <w:b/>
          <w:bCs/>
          <w:sz w:val="30"/>
          <w:szCs w:val="24"/>
          <w:highlight w:val="none"/>
        </w:rPr>
        <w:t>商务偏离表</w:t>
      </w:r>
    </w:p>
    <w:tbl>
      <w:tblPr>
        <w:tblStyle w:val="36"/>
        <w:tblW w:w="5000" w:type="pct"/>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autofit"/>
        <w:tblCellMar>
          <w:top w:w="0" w:type="dxa"/>
          <w:left w:w="28" w:type="dxa"/>
          <w:bottom w:w="0" w:type="dxa"/>
          <w:right w:w="28" w:type="dxa"/>
        </w:tblCellMar>
      </w:tblPr>
      <w:tblGrid>
        <w:gridCol w:w="726"/>
        <w:gridCol w:w="2610"/>
        <w:gridCol w:w="4013"/>
        <w:gridCol w:w="1574"/>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12" w:space="0"/>
              <w:left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序号</w:t>
            </w:r>
          </w:p>
        </w:tc>
        <w:tc>
          <w:tcPr>
            <w:tcW w:w="1462" w:type="pct"/>
            <w:tcBorders>
              <w:top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招标文件的商务条款</w:t>
            </w:r>
          </w:p>
        </w:tc>
        <w:tc>
          <w:tcPr>
            <w:tcW w:w="2248" w:type="pct"/>
            <w:tcBorders>
              <w:top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投标文件的商务响应</w:t>
            </w:r>
            <w:r>
              <w:rPr>
                <w:rFonts w:hint="eastAsia" w:ascii="仿宋" w:hAnsi="仿宋" w:eastAsia="仿宋" w:cs="仿宋"/>
                <w:b/>
                <w:sz w:val="21"/>
                <w:szCs w:val="24"/>
                <w:highlight w:val="none"/>
              </w:rPr>
              <w:t>/</w:t>
            </w:r>
            <w:r>
              <w:rPr>
                <w:rFonts w:hint="eastAsia" w:ascii="仿宋" w:hAnsi="仿宋" w:eastAsia="仿宋" w:cs="仿宋"/>
                <w:sz w:val="21"/>
                <w:szCs w:val="24"/>
                <w:highlight w:val="none"/>
              </w:rPr>
              <w:t>承诺情况</w:t>
            </w:r>
          </w:p>
        </w:tc>
        <w:tc>
          <w:tcPr>
            <w:tcW w:w="882" w:type="pct"/>
            <w:tcBorders>
              <w:top w:val="single" w:color="000000" w:sz="12" w:space="0"/>
              <w:bottom w:val="single" w:color="000000" w:sz="6" w:space="0"/>
              <w:right w:val="single" w:color="000000" w:sz="12"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b/>
                <w:sz w:val="21"/>
                <w:szCs w:val="21"/>
                <w:highlight w:val="none"/>
              </w:rPr>
              <w:t>填写要求及偏离情况（无偏离/正偏离/负偏离）</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1</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按照招标文件规定的合同主要格式条款响应并执行</w:t>
            </w:r>
          </w:p>
        </w:tc>
        <w:tc>
          <w:tcPr>
            <w:tcW w:w="2248"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提示：请投标人按实际情况具体标明响应内容。以下相同。</w:t>
            </w:r>
          </w:p>
        </w:tc>
        <w:tc>
          <w:tcPr>
            <w:tcW w:w="882" w:type="pct"/>
            <w:tcBorders>
              <w:top w:val="single" w:color="000000" w:sz="6" w:space="0"/>
              <w:bottom w:val="single" w:color="000000" w:sz="6" w:space="0"/>
              <w:right w:val="single" w:color="000000" w:sz="12" w:space="0"/>
            </w:tcBorders>
            <w:vAlign w:val="center"/>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2</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依据“用户需求书”中的交货期、交货地点要求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3</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依据“用户需求书”中的付款方式要求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4</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依据“用户需求书”中的质保期及售后服务要求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填写要求：质保期应答必须为具体期限，不能含“以上”或“至少”等模糊字眼</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699"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5</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依据“用户需求书”中的安装调试要求、培训计划</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3"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6</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依据“用户需求书”的质量保证要求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7</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6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8</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4" w:hRule="atLeast"/>
        </w:trPr>
        <w:tc>
          <w:tcPr>
            <w:tcW w:w="407" w:type="pct"/>
            <w:tcBorders>
              <w:top w:val="single" w:color="000000" w:sz="6" w:space="0"/>
              <w:left w:val="single" w:color="000000" w:sz="12" w:space="0"/>
              <w:bottom w:val="single" w:color="000000" w:sz="12" w:space="0"/>
            </w:tcBorders>
            <w:vAlign w:val="center"/>
          </w:tcPr>
          <w:p>
            <w:pPr>
              <w:jc w:val="left"/>
              <w:rPr>
                <w:rFonts w:ascii="仿宋" w:hAnsi="仿宋" w:eastAsia="仿宋" w:cs="仿宋"/>
                <w:b/>
                <w:sz w:val="21"/>
                <w:szCs w:val="24"/>
                <w:highlight w:val="none"/>
              </w:rPr>
            </w:pPr>
          </w:p>
        </w:tc>
        <w:tc>
          <w:tcPr>
            <w:tcW w:w="1462" w:type="pct"/>
            <w:tcBorders>
              <w:top w:val="single" w:color="000000" w:sz="6" w:space="0"/>
              <w:bottom w:val="single" w:color="000000" w:sz="12"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招标文件中其他的商务要求</w:t>
            </w:r>
          </w:p>
        </w:tc>
        <w:tc>
          <w:tcPr>
            <w:tcW w:w="2248" w:type="pct"/>
            <w:tcBorders>
              <w:top w:val="single" w:color="000000" w:sz="6" w:space="0"/>
              <w:bottom w:val="single" w:color="000000" w:sz="12"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12" w:space="0"/>
              <w:right w:val="single" w:color="000000" w:sz="12" w:space="0"/>
            </w:tcBorders>
          </w:tcPr>
          <w:p>
            <w:pPr>
              <w:jc w:val="left"/>
              <w:rPr>
                <w:rFonts w:ascii="仿宋" w:hAnsi="仿宋" w:eastAsia="仿宋" w:cs="仿宋"/>
                <w:sz w:val="21"/>
                <w:szCs w:val="24"/>
                <w:highlight w:val="none"/>
              </w:rPr>
            </w:pPr>
          </w:p>
        </w:tc>
      </w:tr>
    </w:tbl>
    <w:p>
      <w:pPr>
        <w:jc w:val="left"/>
        <w:rPr>
          <w:rFonts w:ascii="仿宋" w:hAnsi="仿宋" w:eastAsia="仿宋" w:cs="仿宋"/>
          <w:bCs/>
          <w:sz w:val="21"/>
          <w:szCs w:val="21"/>
          <w:highlight w:val="none"/>
        </w:rPr>
      </w:pPr>
      <w:r>
        <w:rPr>
          <w:rFonts w:hint="eastAsia" w:ascii="仿宋" w:hAnsi="仿宋" w:eastAsia="仿宋" w:cs="仿宋"/>
          <w:bCs/>
          <w:sz w:val="21"/>
          <w:szCs w:val="21"/>
          <w:highlight w:val="none"/>
        </w:rPr>
        <w:tab/>
      </w:r>
      <w:r>
        <w:rPr>
          <w:rFonts w:hint="eastAsia" w:ascii="仿宋" w:hAnsi="仿宋" w:eastAsia="仿宋" w:cs="仿宋"/>
          <w:bCs/>
          <w:sz w:val="21"/>
          <w:szCs w:val="21"/>
          <w:highlight w:val="none"/>
        </w:rPr>
        <w:t>注：</w:t>
      </w:r>
    </w:p>
    <w:p>
      <w:pPr>
        <w:spacing w:line="276" w:lineRule="auto"/>
        <w:ind w:left="630" w:leftChars="150" w:hanging="210" w:hangingChars="100"/>
        <w:jc w:val="left"/>
        <w:rPr>
          <w:rFonts w:ascii="仿宋" w:hAnsi="仿宋" w:eastAsia="仿宋" w:cs="仿宋"/>
          <w:bCs/>
          <w:strike/>
          <w:sz w:val="21"/>
          <w:szCs w:val="21"/>
          <w:highlight w:val="none"/>
        </w:rPr>
      </w:pPr>
      <w:r>
        <w:rPr>
          <w:rFonts w:hint="eastAsia" w:ascii="仿宋" w:hAnsi="仿宋" w:eastAsia="仿宋" w:cs="仿宋"/>
          <w:sz w:val="21"/>
          <w:szCs w:val="21"/>
          <w:highlight w:val="none"/>
        </w:rPr>
        <w:t>1.投标人应根据投标的实际情况对招标文件的商务条款内容（而非简单复制招标要求）作出全面响应，</w:t>
      </w:r>
      <w:r>
        <w:rPr>
          <w:rFonts w:hint="eastAsia" w:ascii="仿宋" w:hAnsi="仿宋" w:eastAsia="仿宋" w:cs="仿宋"/>
          <w:bCs/>
          <w:sz w:val="21"/>
          <w:szCs w:val="21"/>
          <w:highlight w:val="none"/>
        </w:rPr>
        <w:t>投标人提交的投标文件中与招标文件商务部分的要求有不符时，应逐条列在商务偏离表中。</w:t>
      </w:r>
    </w:p>
    <w:p>
      <w:pPr>
        <w:spacing w:line="276" w:lineRule="auto"/>
        <w:ind w:left="735" w:leftChars="150" w:hanging="315" w:hangingChars="150"/>
        <w:jc w:val="left"/>
        <w:rPr>
          <w:rFonts w:ascii="仿宋" w:hAnsi="仿宋" w:eastAsia="仿宋" w:cs="仿宋"/>
          <w:sz w:val="21"/>
          <w:szCs w:val="21"/>
          <w:highlight w:val="none"/>
          <w:shd w:val="pct10" w:color="auto" w:fill="FFFFFF"/>
        </w:rPr>
      </w:pPr>
      <w:r>
        <w:rPr>
          <w:rFonts w:hint="eastAsia" w:ascii="仿宋" w:hAnsi="仿宋" w:eastAsia="仿宋" w:cs="仿宋"/>
          <w:sz w:val="21"/>
          <w:szCs w:val="21"/>
          <w:highlight w:val="none"/>
        </w:rPr>
        <w:t>2.表中“招标文件中其它商务条款”指除了投标人认为需要明确响应并已经列出的商务条款外，而在招标文件中仍有部分可能被投标人忽略或者不明确是否定义为商务要求的商务条款，这部分要求定义为招标文件中其它商务条款，如投标人明确说明为“无偏离”，则视为投标文件对除已列出响应的商务条款外的商务条款完全响应，并且对条款理解完全按照招标人的理解，如投标人说明为“负偏离”，则须将负偏离的相关商务条款明确列出，并予说明，否则，将影响得分。</w:t>
      </w:r>
    </w:p>
    <w:p>
      <w:pPr>
        <w:spacing w:line="276" w:lineRule="auto"/>
        <w:ind w:left="735" w:leftChars="150" w:hanging="315" w:hangingChars="150"/>
        <w:jc w:val="left"/>
        <w:rPr>
          <w:rFonts w:ascii="仿宋" w:hAnsi="仿宋" w:eastAsia="仿宋" w:cs="仿宋"/>
          <w:sz w:val="21"/>
          <w:szCs w:val="21"/>
          <w:highlight w:val="none"/>
        </w:rPr>
      </w:pP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bookmarkStart w:id="119" w:name="_Toc323129573"/>
      <w:bookmarkStart w:id="120" w:name="_Toc323130140"/>
      <w:bookmarkStart w:id="121" w:name="_Toc325620734"/>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bookmarkStart w:id="122" w:name="_Toc500862831"/>
      <w:bookmarkStart w:id="123" w:name="_Toc14186"/>
      <w:r>
        <w:rPr>
          <w:rFonts w:hint="eastAsia" w:ascii="仿宋" w:hAnsi="仿宋" w:eastAsia="仿宋" w:cs="仿宋"/>
          <w:b w:val="0"/>
          <w:sz w:val="28"/>
          <w:szCs w:val="28"/>
          <w:highlight w:val="none"/>
        </w:rPr>
        <w:t>附件</w:t>
      </w:r>
      <w:bookmarkEnd w:id="119"/>
      <w:bookmarkEnd w:id="120"/>
      <w:r>
        <w:rPr>
          <w:rFonts w:hint="eastAsia" w:ascii="仿宋" w:hAnsi="仿宋" w:eastAsia="仿宋" w:cs="仿宋"/>
          <w:b w:val="0"/>
          <w:sz w:val="28"/>
          <w:szCs w:val="28"/>
          <w:highlight w:val="none"/>
        </w:rPr>
        <w:t>12：</w:t>
      </w:r>
      <w:bookmarkEnd w:id="121"/>
      <w:r>
        <w:rPr>
          <w:rFonts w:hint="eastAsia" w:ascii="仿宋" w:hAnsi="仿宋" w:eastAsia="仿宋" w:cs="仿宋"/>
          <w:b w:val="0"/>
          <w:sz w:val="28"/>
          <w:szCs w:val="28"/>
          <w:highlight w:val="none"/>
        </w:rPr>
        <w:t>投标产品近三年销售清单</w:t>
      </w:r>
      <w:bookmarkEnd w:id="122"/>
      <w:bookmarkEnd w:id="123"/>
    </w:p>
    <w:p>
      <w:pPr>
        <w:pStyle w:val="18"/>
        <w:spacing w:line="360" w:lineRule="auto"/>
        <w:ind w:firstLine="0" w:firstLineChars="0"/>
        <w:rPr>
          <w:rFonts w:ascii="仿宋" w:hAnsi="仿宋" w:eastAsia="仿宋" w:cs="仿宋"/>
          <w:sz w:val="21"/>
          <w:szCs w:val="21"/>
          <w:highlight w:val="none"/>
        </w:rPr>
      </w:pPr>
    </w:p>
    <w:p>
      <w:pPr>
        <w:spacing w:line="48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投标产品销售清单清单（近三年）</w:t>
      </w:r>
    </w:p>
    <w:p>
      <w:pPr>
        <w:spacing w:line="480" w:lineRule="exact"/>
        <w:jc w:val="left"/>
        <w:rPr>
          <w:rFonts w:ascii="仿宋" w:hAnsi="仿宋" w:eastAsia="仿宋" w:cs="仿宋"/>
          <w:highlight w:val="none"/>
        </w:rPr>
      </w:pPr>
    </w:p>
    <w:tbl>
      <w:tblPr>
        <w:tblStyle w:val="36"/>
        <w:tblW w:w="10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234"/>
        <w:gridCol w:w="1666"/>
        <w:gridCol w:w="992"/>
        <w:gridCol w:w="1134"/>
        <w:gridCol w:w="1417"/>
        <w:gridCol w:w="139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2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用户名称</w:t>
            </w:r>
          </w:p>
        </w:tc>
        <w:tc>
          <w:tcPr>
            <w:tcW w:w="166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设备或项目名称</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合同金额</w:t>
            </w:r>
          </w:p>
        </w:tc>
        <w:tc>
          <w:tcPr>
            <w:tcW w:w="139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联系人</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bl>
    <w:p>
      <w:pPr>
        <w:pStyle w:val="18"/>
        <w:spacing w:line="360" w:lineRule="auto"/>
        <w:ind w:left="1747" w:firstLine="461"/>
        <w:rPr>
          <w:rFonts w:ascii="仿宋" w:hAnsi="仿宋" w:eastAsia="仿宋" w:cs="仿宋"/>
          <w:highlight w:val="none"/>
        </w:rPr>
      </w:pPr>
    </w:p>
    <w:p>
      <w:pPr>
        <w:widowControl/>
        <w:autoSpaceDE w:val="0"/>
        <w:autoSpaceDN w:val="0"/>
        <w:adjustRightInd w:val="0"/>
        <w:spacing w:line="440" w:lineRule="exact"/>
        <w:ind w:left="5320" w:leftChars="1900" w:right="-481" w:firstLine="980" w:firstLineChars="350"/>
        <w:jc w:val="left"/>
        <w:rPr>
          <w:rFonts w:ascii="仿宋" w:hAnsi="仿宋" w:eastAsia="仿宋" w:cs="仿宋"/>
          <w:highlight w:val="none"/>
        </w:rPr>
      </w:pPr>
      <w:r>
        <w:rPr>
          <w:rFonts w:hint="eastAsia" w:ascii="仿宋" w:hAnsi="仿宋" w:eastAsia="仿宋" w:cs="仿宋"/>
          <w:highlight w:val="none"/>
        </w:rPr>
        <w:t xml:space="preserve">                     </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widowControl/>
        <w:autoSpaceDE w:val="0"/>
        <w:autoSpaceDN w:val="0"/>
        <w:adjustRightInd w:val="0"/>
        <w:spacing w:line="440" w:lineRule="exact"/>
        <w:ind w:firstLine="6960" w:firstLineChars="2900"/>
        <w:jc w:val="left"/>
        <w:rPr>
          <w:rFonts w:ascii="仿宋" w:hAnsi="仿宋" w:eastAsia="仿宋" w:cs="仿宋"/>
          <w:kern w:val="1"/>
          <w:sz w:val="24"/>
          <w:szCs w:val="24"/>
          <w:highlight w:val="none"/>
        </w:rPr>
      </w:pPr>
    </w:p>
    <w:p>
      <w:pPr>
        <w:widowControl/>
        <w:autoSpaceDE w:val="0"/>
        <w:autoSpaceDN w:val="0"/>
        <w:adjustRightInd w:val="0"/>
        <w:spacing w:line="440" w:lineRule="exact"/>
        <w:ind w:firstLine="6960" w:firstLineChars="2900"/>
        <w:jc w:val="left"/>
        <w:rPr>
          <w:rFonts w:ascii="仿宋" w:hAnsi="仿宋" w:eastAsia="仿宋" w:cs="仿宋"/>
          <w:kern w:val="1"/>
          <w:sz w:val="24"/>
          <w:szCs w:val="24"/>
          <w:highlight w:val="none"/>
        </w:rPr>
      </w:pPr>
    </w:p>
    <w:p>
      <w:pPr>
        <w:pStyle w:val="33"/>
        <w:spacing w:line="360" w:lineRule="auto"/>
        <w:outlineLvl w:val="1"/>
        <w:rPr>
          <w:rFonts w:ascii="仿宋" w:hAnsi="仿宋" w:eastAsia="仿宋" w:cs="仿宋"/>
          <w:b w:val="0"/>
          <w:sz w:val="28"/>
          <w:szCs w:val="28"/>
          <w:highlight w:val="none"/>
        </w:rPr>
      </w:pPr>
      <w:bookmarkStart w:id="124" w:name="_Toc500862832"/>
      <w:bookmarkStart w:id="125" w:name="_Toc17904"/>
      <w:r>
        <w:rPr>
          <w:rFonts w:hint="eastAsia" w:ascii="仿宋" w:hAnsi="仿宋" w:eastAsia="仿宋" w:cs="仿宋"/>
          <w:b w:val="0"/>
          <w:sz w:val="28"/>
          <w:szCs w:val="28"/>
          <w:highlight w:val="none"/>
        </w:rPr>
        <w:t>附件13：投标人近三年类似或相同项目业绩清单</w:t>
      </w:r>
      <w:bookmarkEnd w:id="124"/>
      <w:bookmarkEnd w:id="125"/>
    </w:p>
    <w:p>
      <w:pPr>
        <w:pStyle w:val="18"/>
        <w:spacing w:line="360" w:lineRule="auto"/>
        <w:ind w:firstLine="0" w:firstLineChars="0"/>
        <w:rPr>
          <w:rFonts w:ascii="仿宋" w:hAnsi="仿宋" w:eastAsia="仿宋" w:cs="仿宋"/>
          <w:sz w:val="21"/>
          <w:szCs w:val="21"/>
          <w:highlight w:val="none"/>
        </w:rPr>
      </w:pPr>
    </w:p>
    <w:p>
      <w:pPr>
        <w:spacing w:line="48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投标人类似或相同项目业绩清单（近三年）</w:t>
      </w:r>
    </w:p>
    <w:p>
      <w:pPr>
        <w:spacing w:line="480" w:lineRule="exact"/>
        <w:jc w:val="left"/>
        <w:rPr>
          <w:rFonts w:ascii="仿宋" w:hAnsi="仿宋" w:eastAsia="仿宋" w:cs="仿宋"/>
          <w:highlight w:val="none"/>
        </w:rPr>
      </w:pPr>
    </w:p>
    <w:tbl>
      <w:tblPr>
        <w:tblStyle w:val="36"/>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96"/>
        <w:gridCol w:w="1612"/>
        <w:gridCol w:w="1388"/>
        <w:gridCol w:w="1551"/>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99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用户名称</w:t>
            </w:r>
          </w:p>
        </w:tc>
        <w:tc>
          <w:tcPr>
            <w:tcW w:w="161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设备或项目名称</w:t>
            </w:r>
          </w:p>
        </w:tc>
        <w:tc>
          <w:tcPr>
            <w:tcW w:w="138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合同金额</w:t>
            </w:r>
          </w:p>
        </w:tc>
        <w:tc>
          <w:tcPr>
            <w:tcW w:w="1551"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联系人</w:t>
            </w:r>
          </w:p>
        </w:tc>
        <w:tc>
          <w:tcPr>
            <w:tcW w:w="1463"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bl>
    <w:p>
      <w:pPr>
        <w:spacing w:line="360" w:lineRule="auto"/>
        <w:ind w:firstLine="537" w:firstLineChars="224"/>
        <w:jc w:val="left"/>
        <w:rPr>
          <w:rFonts w:ascii="仿宋" w:hAnsi="仿宋" w:eastAsia="仿宋" w:cs="仿宋"/>
          <w:sz w:val="24"/>
          <w:szCs w:val="24"/>
          <w:highlight w:val="none"/>
        </w:rPr>
      </w:pPr>
      <w:r>
        <w:rPr>
          <w:rFonts w:hint="eastAsia" w:ascii="仿宋" w:hAnsi="仿宋" w:eastAsia="仿宋" w:cs="仿宋"/>
          <w:sz w:val="24"/>
          <w:szCs w:val="24"/>
          <w:highlight w:val="none"/>
        </w:rPr>
        <w:t>注：投标人须提供同类项目合同（关键页）复印件</w:t>
      </w:r>
    </w:p>
    <w:p>
      <w:pPr>
        <w:widowControl/>
        <w:autoSpaceDE w:val="0"/>
        <w:autoSpaceDN w:val="0"/>
        <w:adjustRightInd w:val="0"/>
        <w:spacing w:line="440" w:lineRule="exact"/>
        <w:ind w:left="5320" w:leftChars="1900" w:right="-481" w:firstLine="980" w:firstLineChars="350"/>
        <w:jc w:val="left"/>
        <w:rPr>
          <w:rFonts w:ascii="仿宋" w:hAnsi="仿宋" w:eastAsia="仿宋" w:cs="仿宋"/>
          <w:highlight w:val="none"/>
        </w:rPr>
      </w:pPr>
      <w:r>
        <w:rPr>
          <w:rFonts w:hint="eastAsia" w:ascii="仿宋" w:hAnsi="仿宋" w:eastAsia="仿宋" w:cs="仿宋"/>
          <w:highlight w:val="none"/>
        </w:rPr>
        <w:t xml:space="preserve">                     </w:t>
      </w:r>
    </w:p>
    <w:p>
      <w:pPr>
        <w:widowControl/>
        <w:autoSpaceDE w:val="0"/>
        <w:autoSpaceDN w:val="0"/>
        <w:adjustRightInd w:val="0"/>
        <w:spacing w:line="440" w:lineRule="exact"/>
        <w:ind w:right="-481" w:firstLine="3120" w:firstLineChars="13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120" w:firstLineChars="13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pStyle w:val="175"/>
        <w:spacing w:line="440" w:lineRule="exac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175"/>
        <w:spacing w:line="440" w:lineRule="exact"/>
        <w:rPr>
          <w:rFonts w:ascii="仿宋" w:hAnsi="仿宋" w:eastAsia="仿宋" w:cs="仿宋"/>
          <w:kern w:val="1"/>
          <w:sz w:val="24"/>
          <w:szCs w:val="24"/>
          <w:highlight w:val="none"/>
        </w:rPr>
      </w:pPr>
    </w:p>
    <w:p>
      <w:pPr>
        <w:widowControl/>
        <w:autoSpaceDE w:val="0"/>
        <w:autoSpaceDN w:val="0"/>
        <w:adjustRightInd w:val="0"/>
        <w:spacing w:line="440" w:lineRule="exact"/>
        <w:jc w:val="left"/>
        <w:rPr>
          <w:rFonts w:ascii="仿宋" w:hAnsi="仿宋" w:eastAsia="仿宋" w:cs="仿宋"/>
          <w:kern w:val="1"/>
          <w:sz w:val="24"/>
          <w:szCs w:val="24"/>
          <w:highlight w:val="none"/>
        </w:rPr>
      </w:pPr>
    </w:p>
    <w:sectPr>
      <w:headerReference r:id="rId7" w:type="default"/>
      <w:footerReference r:id="rId8" w:type="default"/>
      <w:pgSz w:w="11907" w:h="16840"/>
      <w:pgMar w:top="1418" w:right="1418" w:bottom="1247" w:left="1622" w:header="851" w:footer="851" w:gutter="0"/>
      <w:cols w:space="720" w:num="1"/>
      <w:docGrid w:linePitch="381"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07954"/>
    </w:sdtPr>
    <w:sdtContent>
      <w:p>
        <w:pPr>
          <w:pStyle w:val="25"/>
          <w:jc w:val="center"/>
        </w:pPr>
        <w:r>
          <w:fldChar w:fldCharType="begin"/>
        </w:r>
        <w:r>
          <w:instrText xml:space="preserve"> PAGE   \* MERGEFORMAT </w:instrText>
        </w:r>
        <w:r>
          <w:fldChar w:fldCharType="separate"/>
        </w:r>
        <w:r>
          <w:rPr>
            <w:lang w:val="zh-CN"/>
          </w:rPr>
          <w:t>30</w:t>
        </w:r>
        <w:r>
          <w:rPr>
            <w:lang w:val="zh-CN"/>
          </w:rP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3925653"/>
    </w:sdtPr>
    <w:sdtContent>
      <w:p>
        <w:pPr>
          <w:pStyle w:val="25"/>
          <w:jc w:val="center"/>
        </w:pPr>
        <w:r>
          <w:fldChar w:fldCharType="begin"/>
        </w:r>
        <w:r>
          <w:instrText xml:space="preserve">PAGE   \* MERGEFORMAT</w:instrText>
        </w:r>
        <w:r>
          <w:fldChar w:fldCharType="separate"/>
        </w:r>
        <w:r>
          <w:rPr>
            <w:lang w:val="zh-CN"/>
          </w:rPr>
          <w:t>32</w:t>
        </w:r>
        <w:r>
          <w:rPr>
            <w:lang w:val="zh-CN"/>
          </w:rPr>
          <w:fldChar w:fldCharType="end"/>
        </w:r>
      </w:p>
    </w:sdtContent>
  </w:sdt>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pict>
        <v:shape id="文本框 5" o:spid="_x0000_s4098" o:spt="202" type="#_x0000_t202" style="position:absolute;left:0pt;margin-top:0pt;height:11.65pt;width:9.0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4860" w:firstLineChars="2700"/>
    </w:pPr>
    <w:r>
      <w:pict>
        <v:shape id="文本框 6" o:spid="_x0000_s4097" o:spt="202" type="#_x0000_t202" style="position:absolute;left:0pt;margin-top:0pt;height:11.65pt;width:9.0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left="-2800" w:leftChars="-1000" w:right="78" w:firstLine="1710" w:firstLineChars="9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BB857"/>
    <w:multiLevelType w:val="singleLevel"/>
    <w:tmpl w:val="CD7BB857"/>
    <w:lvl w:ilvl="0" w:tentative="0">
      <w:start w:val="1"/>
      <w:numFmt w:val="decimal"/>
      <w:suff w:val="nothing"/>
      <w:lvlText w:val="（%1）"/>
      <w:lvlJc w:val="left"/>
    </w:lvl>
  </w:abstractNum>
  <w:abstractNum w:abstractNumId="1">
    <w:nsid w:val="52DE1F3D"/>
    <w:multiLevelType w:val="singleLevel"/>
    <w:tmpl w:val="52DE1F3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A2ZmU5ZTJjNzNkNjc0N2U3MWM0YTdhYjA5YjQ0MWYifQ=="/>
  </w:docVars>
  <w:rsids>
    <w:rsidRoot w:val="00172A27"/>
    <w:rsid w:val="00000FC9"/>
    <w:rsid w:val="00003823"/>
    <w:rsid w:val="00003F37"/>
    <w:rsid w:val="00005153"/>
    <w:rsid w:val="00013519"/>
    <w:rsid w:val="000144CA"/>
    <w:rsid w:val="00014D9A"/>
    <w:rsid w:val="000202FE"/>
    <w:rsid w:val="00021CC6"/>
    <w:rsid w:val="000224A6"/>
    <w:rsid w:val="000239BF"/>
    <w:rsid w:val="000319BB"/>
    <w:rsid w:val="00032321"/>
    <w:rsid w:val="00033239"/>
    <w:rsid w:val="000338CA"/>
    <w:rsid w:val="000367B1"/>
    <w:rsid w:val="00036FF9"/>
    <w:rsid w:val="00037F08"/>
    <w:rsid w:val="000408F3"/>
    <w:rsid w:val="00043E6E"/>
    <w:rsid w:val="00044CED"/>
    <w:rsid w:val="000459CB"/>
    <w:rsid w:val="000509FB"/>
    <w:rsid w:val="00056FA0"/>
    <w:rsid w:val="00064357"/>
    <w:rsid w:val="0006554A"/>
    <w:rsid w:val="000663F9"/>
    <w:rsid w:val="000704FB"/>
    <w:rsid w:val="0007206B"/>
    <w:rsid w:val="00073756"/>
    <w:rsid w:val="000817C1"/>
    <w:rsid w:val="000863B9"/>
    <w:rsid w:val="00087EAD"/>
    <w:rsid w:val="00090504"/>
    <w:rsid w:val="00090D0B"/>
    <w:rsid w:val="00090DFB"/>
    <w:rsid w:val="00091E17"/>
    <w:rsid w:val="00094BAE"/>
    <w:rsid w:val="000A0421"/>
    <w:rsid w:val="000A2F50"/>
    <w:rsid w:val="000A3BB8"/>
    <w:rsid w:val="000A445C"/>
    <w:rsid w:val="000A5B88"/>
    <w:rsid w:val="000B3E98"/>
    <w:rsid w:val="000B4F99"/>
    <w:rsid w:val="000B6843"/>
    <w:rsid w:val="000C53BF"/>
    <w:rsid w:val="000C5CC7"/>
    <w:rsid w:val="000C79E2"/>
    <w:rsid w:val="000D32B2"/>
    <w:rsid w:val="000D3348"/>
    <w:rsid w:val="000E1562"/>
    <w:rsid w:val="000E2275"/>
    <w:rsid w:val="000E256F"/>
    <w:rsid w:val="000E562D"/>
    <w:rsid w:val="000E668A"/>
    <w:rsid w:val="001005BD"/>
    <w:rsid w:val="001007F9"/>
    <w:rsid w:val="00100BAD"/>
    <w:rsid w:val="00100D27"/>
    <w:rsid w:val="00102341"/>
    <w:rsid w:val="00103239"/>
    <w:rsid w:val="00112398"/>
    <w:rsid w:val="00114020"/>
    <w:rsid w:val="00115DDC"/>
    <w:rsid w:val="00116F8C"/>
    <w:rsid w:val="001213BB"/>
    <w:rsid w:val="00121A32"/>
    <w:rsid w:val="00122C18"/>
    <w:rsid w:val="00123E72"/>
    <w:rsid w:val="00125F6A"/>
    <w:rsid w:val="00127CA9"/>
    <w:rsid w:val="00130ABA"/>
    <w:rsid w:val="00130C94"/>
    <w:rsid w:val="00136E90"/>
    <w:rsid w:val="0013756E"/>
    <w:rsid w:val="001418EE"/>
    <w:rsid w:val="001434DA"/>
    <w:rsid w:val="00143D98"/>
    <w:rsid w:val="00145015"/>
    <w:rsid w:val="00150128"/>
    <w:rsid w:val="001501B1"/>
    <w:rsid w:val="00151EC6"/>
    <w:rsid w:val="00157196"/>
    <w:rsid w:val="00161311"/>
    <w:rsid w:val="00164346"/>
    <w:rsid w:val="00165EB8"/>
    <w:rsid w:val="00172A27"/>
    <w:rsid w:val="00175A02"/>
    <w:rsid w:val="001778B2"/>
    <w:rsid w:val="001822C6"/>
    <w:rsid w:val="0019054D"/>
    <w:rsid w:val="0019076E"/>
    <w:rsid w:val="00192952"/>
    <w:rsid w:val="00194D61"/>
    <w:rsid w:val="001A0A8D"/>
    <w:rsid w:val="001A6C36"/>
    <w:rsid w:val="001B0321"/>
    <w:rsid w:val="001B3835"/>
    <w:rsid w:val="001B3B9F"/>
    <w:rsid w:val="001B423A"/>
    <w:rsid w:val="001B505A"/>
    <w:rsid w:val="001B548E"/>
    <w:rsid w:val="001B7141"/>
    <w:rsid w:val="001C1DCE"/>
    <w:rsid w:val="001C4DFA"/>
    <w:rsid w:val="001C513E"/>
    <w:rsid w:val="001D06A2"/>
    <w:rsid w:val="001D15FD"/>
    <w:rsid w:val="001D21D1"/>
    <w:rsid w:val="001D2945"/>
    <w:rsid w:val="001D5231"/>
    <w:rsid w:val="001D66E6"/>
    <w:rsid w:val="001E10D7"/>
    <w:rsid w:val="001E63CA"/>
    <w:rsid w:val="001E67AB"/>
    <w:rsid w:val="001F0D98"/>
    <w:rsid w:val="001F151F"/>
    <w:rsid w:val="001F1C8D"/>
    <w:rsid w:val="001F2210"/>
    <w:rsid w:val="001F386C"/>
    <w:rsid w:val="001F49D6"/>
    <w:rsid w:val="001F6391"/>
    <w:rsid w:val="001F71D3"/>
    <w:rsid w:val="001F71D9"/>
    <w:rsid w:val="00206C0B"/>
    <w:rsid w:val="0021189F"/>
    <w:rsid w:val="002128D7"/>
    <w:rsid w:val="002158CA"/>
    <w:rsid w:val="002177A6"/>
    <w:rsid w:val="002224A8"/>
    <w:rsid w:val="00222832"/>
    <w:rsid w:val="00224090"/>
    <w:rsid w:val="002266EE"/>
    <w:rsid w:val="00227410"/>
    <w:rsid w:val="00230806"/>
    <w:rsid w:val="00230D5E"/>
    <w:rsid w:val="002317A7"/>
    <w:rsid w:val="002341D8"/>
    <w:rsid w:val="00235EF7"/>
    <w:rsid w:val="00236862"/>
    <w:rsid w:val="00237698"/>
    <w:rsid w:val="0024366C"/>
    <w:rsid w:val="00243D42"/>
    <w:rsid w:val="002447AE"/>
    <w:rsid w:val="00244F58"/>
    <w:rsid w:val="002535D3"/>
    <w:rsid w:val="00254201"/>
    <w:rsid w:val="00257774"/>
    <w:rsid w:val="00257E01"/>
    <w:rsid w:val="00260E2D"/>
    <w:rsid w:val="002627C2"/>
    <w:rsid w:val="0026536E"/>
    <w:rsid w:val="00265880"/>
    <w:rsid w:val="00266A81"/>
    <w:rsid w:val="00267083"/>
    <w:rsid w:val="00270737"/>
    <w:rsid w:val="002722EE"/>
    <w:rsid w:val="00273446"/>
    <w:rsid w:val="00273805"/>
    <w:rsid w:val="00273C65"/>
    <w:rsid w:val="00274C71"/>
    <w:rsid w:val="00275389"/>
    <w:rsid w:val="002763AB"/>
    <w:rsid w:val="0028149F"/>
    <w:rsid w:val="0028185B"/>
    <w:rsid w:val="00283D09"/>
    <w:rsid w:val="002855C6"/>
    <w:rsid w:val="0028631E"/>
    <w:rsid w:val="00287F8B"/>
    <w:rsid w:val="002914CF"/>
    <w:rsid w:val="0029186D"/>
    <w:rsid w:val="00291F90"/>
    <w:rsid w:val="00294A74"/>
    <w:rsid w:val="00294EF1"/>
    <w:rsid w:val="002A326F"/>
    <w:rsid w:val="002A57AD"/>
    <w:rsid w:val="002A6B25"/>
    <w:rsid w:val="002A7CD1"/>
    <w:rsid w:val="002B0520"/>
    <w:rsid w:val="002B1C83"/>
    <w:rsid w:val="002B51B0"/>
    <w:rsid w:val="002B776F"/>
    <w:rsid w:val="002C0599"/>
    <w:rsid w:val="002C1F6F"/>
    <w:rsid w:val="002C2F99"/>
    <w:rsid w:val="002C40A9"/>
    <w:rsid w:val="002C4A45"/>
    <w:rsid w:val="002C6114"/>
    <w:rsid w:val="002C7AA5"/>
    <w:rsid w:val="002D0053"/>
    <w:rsid w:val="002D259E"/>
    <w:rsid w:val="002D2960"/>
    <w:rsid w:val="002D29E1"/>
    <w:rsid w:val="002D3CE7"/>
    <w:rsid w:val="002D6200"/>
    <w:rsid w:val="002D637D"/>
    <w:rsid w:val="002D747A"/>
    <w:rsid w:val="002D74E4"/>
    <w:rsid w:val="002E1587"/>
    <w:rsid w:val="002E44DE"/>
    <w:rsid w:val="002E5FA5"/>
    <w:rsid w:val="002E610E"/>
    <w:rsid w:val="002F36D1"/>
    <w:rsid w:val="002F37DF"/>
    <w:rsid w:val="002F4B61"/>
    <w:rsid w:val="00302121"/>
    <w:rsid w:val="00302ECF"/>
    <w:rsid w:val="00304411"/>
    <w:rsid w:val="003058F3"/>
    <w:rsid w:val="00305DC9"/>
    <w:rsid w:val="00310910"/>
    <w:rsid w:val="00312038"/>
    <w:rsid w:val="00317FE5"/>
    <w:rsid w:val="00321CA5"/>
    <w:rsid w:val="00321EE3"/>
    <w:rsid w:val="00323B91"/>
    <w:rsid w:val="00323E3A"/>
    <w:rsid w:val="00324201"/>
    <w:rsid w:val="00333DC1"/>
    <w:rsid w:val="00335206"/>
    <w:rsid w:val="003373D2"/>
    <w:rsid w:val="00340487"/>
    <w:rsid w:val="003412B0"/>
    <w:rsid w:val="003466CE"/>
    <w:rsid w:val="00347AA5"/>
    <w:rsid w:val="0035106F"/>
    <w:rsid w:val="00351441"/>
    <w:rsid w:val="00351A01"/>
    <w:rsid w:val="00354130"/>
    <w:rsid w:val="00361C4C"/>
    <w:rsid w:val="00361EA7"/>
    <w:rsid w:val="00363077"/>
    <w:rsid w:val="00363E45"/>
    <w:rsid w:val="00371CC0"/>
    <w:rsid w:val="00373A8C"/>
    <w:rsid w:val="0037460C"/>
    <w:rsid w:val="003756ED"/>
    <w:rsid w:val="003802BE"/>
    <w:rsid w:val="00381FC3"/>
    <w:rsid w:val="0038358D"/>
    <w:rsid w:val="0038510C"/>
    <w:rsid w:val="00385FEA"/>
    <w:rsid w:val="00386E3D"/>
    <w:rsid w:val="0038775A"/>
    <w:rsid w:val="00387F96"/>
    <w:rsid w:val="00393D0F"/>
    <w:rsid w:val="00394480"/>
    <w:rsid w:val="00397802"/>
    <w:rsid w:val="003978FA"/>
    <w:rsid w:val="003A1D5C"/>
    <w:rsid w:val="003A32B7"/>
    <w:rsid w:val="003A3DDD"/>
    <w:rsid w:val="003A4D47"/>
    <w:rsid w:val="003A6C28"/>
    <w:rsid w:val="003A6E49"/>
    <w:rsid w:val="003A7628"/>
    <w:rsid w:val="003B0DEE"/>
    <w:rsid w:val="003B0FC8"/>
    <w:rsid w:val="003B19CF"/>
    <w:rsid w:val="003B630B"/>
    <w:rsid w:val="003B76AA"/>
    <w:rsid w:val="003C16A1"/>
    <w:rsid w:val="003C4257"/>
    <w:rsid w:val="003C493D"/>
    <w:rsid w:val="003C7A8B"/>
    <w:rsid w:val="003D2936"/>
    <w:rsid w:val="003D66D0"/>
    <w:rsid w:val="003E0ABB"/>
    <w:rsid w:val="003E44CC"/>
    <w:rsid w:val="003E62CF"/>
    <w:rsid w:val="003E6A35"/>
    <w:rsid w:val="003F14CE"/>
    <w:rsid w:val="003F1653"/>
    <w:rsid w:val="003F236E"/>
    <w:rsid w:val="003F3579"/>
    <w:rsid w:val="003F3A25"/>
    <w:rsid w:val="003F4D5D"/>
    <w:rsid w:val="003F618D"/>
    <w:rsid w:val="003F67C2"/>
    <w:rsid w:val="003F7DE8"/>
    <w:rsid w:val="00401941"/>
    <w:rsid w:val="00404590"/>
    <w:rsid w:val="004062C9"/>
    <w:rsid w:val="00406CC5"/>
    <w:rsid w:val="00407F35"/>
    <w:rsid w:val="004112FF"/>
    <w:rsid w:val="00412A85"/>
    <w:rsid w:val="00416E09"/>
    <w:rsid w:val="00417A09"/>
    <w:rsid w:val="004228CD"/>
    <w:rsid w:val="00422C04"/>
    <w:rsid w:val="00425BB3"/>
    <w:rsid w:val="00427E13"/>
    <w:rsid w:val="00432DA0"/>
    <w:rsid w:val="00433F6B"/>
    <w:rsid w:val="004368AF"/>
    <w:rsid w:val="00443B35"/>
    <w:rsid w:val="00443DD6"/>
    <w:rsid w:val="00443EAF"/>
    <w:rsid w:val="004468E8"/>
    <w:rsid w:val="004469BA"/>
    <w:rsid w:val="00452A3E"/>
    <w:rsid w:val="004536DF"/>
    <w:rsid w:val="004552E9"/>
    <w:rsid w:val="00455A68"/>
    <w:rsid w:val="004566B2"/>
    <w:rsid w:val="00460A60"/>
    <w:rsid w:val="00462B37"/>
    <w:rsid w:val="00462FAA"/>
    <w:rsid w:val="00466DC6"/>
    <w:rsid w:val="00471497"/>
    <w:rsid w:val="00472713"/>
    <w:rsid w:val="004734CB"/>
    <w:rsid w:val="00473B2D"/>
    <w:rsid w:val="00474B0B"/>
    <w:rsid w:val="00480AFA"/>
    <w:rsid w:val="00483F7F"/>
    <w:rsid w:val="00484A96"/>
    <w:rsid w:val="00487517"/>
    <w:rsid w:val="00487A08"/>
    <w:rsid w:val="004906F4"/>
    <w:rsid w:val="0049075C"/>
    <w:rsid w:val="00491A82"/>
    <w:rsid w:val="00492FCC"/>
    <w:rsid w:val="00494AAA"/>
    <w:rsid w:val="00497C45"/>
    <w:rsid w:val="004A587A"/>
    <w:rsid w:val="004A6B8B"/>
    <w:rsid w:val="004B1A70"/>
    <w:rsid w:val="004B1C5D"/>
    <w:rsid w:val="004B205A"/>
    <w:rsid w:val="004B2510"/>
    <w:rsid w:val="004B37CF"/>
    <w:rsid w:val="004B50EA"/>
    <w:rsid w:val="004B7099"/>
    <w:rsid w:val="004C07C8"/>
    <w:rsid w:val="004C1F60"/>
    <w:rsid w:val="004C2B0F"/>
    <w:rsid w:val="004C348D"/>
    <w:rsid w:val="004C49CC"/>
    <w:rsid w:val="004C5D84"/>
    <w:rsid w:val="004C5E59"/>
    <w:rsid w:val="004D7EA5"/>
    <w:rsid w:val="004E060E"/>
    <w:rsid w:val="004E2EA0"/>
    <w:rsid w:val="004E3C4D"/>
    <w:rsid w:val="004E464E"/>
    <w:rsid w:val="004E4A92"/>
    <w:rsid w:val="004E6823"/>
    <w:rsid w:val="004F1E27"/>
    <w:rsid w:val="004F4E41"/>
    <w:rsid w:val="004F5223"/>
    <w:rsid w:val="00501474"/>
    <w:rsid w:val="00502B6E"/>
    <w:rsid w:val="00505DA9"/>
    <w:rsid w:val="005067BC"/>
    <w:rsid w:val="00506849"/>
    <w:rsid w:val="0050697B"/>
    <w:rsid w:val="00507D32"/>
    <w:rsid w:val="00510F3C"/>
    <w:rsid w:val="005121BE"/>
    <w:rsid w:val="00512503"/>
    <w:rsid w:val="00512A7D"/>
    <w:rsid w:val="00512E0E"/>
    <w:rsid w:val="00513E3C"/>
    <w:rsid w:val="00514473"/>
    <w:rsid w:val="00515CE7"/>
    <w:rsid w:val="005172AA"/>
    <w:rsid w:val="00520CC7"/>
    <w:rsid w:val="0052674F"/>
    <w:rsid w:val="005273AC"/>
    <w:rsid w:val="00527606"/>
    <w:rsid w:val="00527CBC"/>
    <w:rsid w:val="00530357"/>
    <w:rsid w:val="00532B4D"/>
    <w:rsid w:val="00536D20"/>
    <w:rsid w:val="0054115D"/>
    <w:rsid w:val="00544D0A"/>
    <w:rsid w:val="005457BB"/>
    <w:rsid w:val="00547AFD"/>
    <w:rsid w:val="00550F0B"/>
    <w:rsid w:val="005517E9"/>
    <w:rsid w:val="00552A70"/>
    <w:rsid w:val="005531D3"/>
    <w:rsid w:val="00554322"/>
    <w:rsid w:val="005552AC"/>
    <w:rsid w:val="0055778E"/>
    <w:rsid w:val="0056192D"/>
    <w:rsid w:val="00565CDB"/>
    <w:rsid w:val="00567459"/>
    <w:rsid w:val="00567FC5"/>
    <w:rsid w:val="005717BA"/>
    <w:rsid w:val="0057227D"/>
    <w:rsid w:val="005732BF"/>
    <w:rsid w:val="005733A2"/>
    <w:rsid w:val="005757BD"/>
    <w:rsid w:val="00576761"/>
    <w:rsid w:val="00585117"/>
    <w:rsid w:val="00586628"/>
    <w:rsid w:val="005868DE"/>
    <w:rsid w:val="005945C6"/>
    <w:rsid w:val="00596A0F"/>
    <w:rsid w:val="00597155"/>
    <w:rsid w:val="005971FE"/>
    <w:rsid w:val="005A0EDD"/>
    <w:rsid w:val="005A51C4"/>
    <w:rsid w:val="005A5268"/>
    <w:rsid w:val="005A62EC"/>
    <w:rsid w:val="005B36B0"/>
    <w:rsid w:val="005B3FE2"/>
    <w:rsid w:val="005B52A5"/>
    <w:rsid w:val="005B6675"/>
    <w:rsid w:val="005B67A3"/>
    <w:rsid w:val="005B7912"/>
    <w:rsid w:val="005C0D13"/>
    <w:rsid w:val="005C2117"/>
    <w:rsid w:val="005C365B"/>
    <w:rsid w:val="005C6FBD"/>
    <w:rsid w:val="005C755D"/>
    <w:rsid w:val="005D1145"/>
    <w:rsid w:val="005D1B59"/>
    <w:rsid w:val="005D1E94"/>
    <w:rsid w:val="005D2341"/>
    <w:rsid w:val="005D29DC"/>
    <w:rsid w:val="005D533A"/>
    <w:rsid w:val="005D53FB"/>
    <w:rsid w:val="005D6197"/>
    <w:rsid w:val="005D725A"/>
    <w:rsid w:val="005D785F"/>
    <w:rsid w:val="005E106D"/>
    <w:rsid w:val="005E18F2"/>
    <w:rsid w:val="005E1C46"/>
    <w:rsid w:val="005E389A"/>
    <w:rsid w:val="005E4345"/>
    <w:rsid w:val="005E45BD"/>
    <w:rsid w:val="005F0CC6"/>
    <w:rsid w:val="005F21B4"/>
    <w:rsid w:val="006010DD"/>
    <w:rsid w:val="006019F5"/>
    <w:rsid w:val="00601FDA"/>
    <w:rsid w:val="00602101"/>
    <w:rsid w:val="00602988"/>
    <w:rsid w:val="006032B2"/>
    <w:rsid w:val="00603C04"/>
    <w:rsid w:val="00606C8C"/>
    <w:rsid w:val="0060781C"/>
    <w:rsid w:val="006111A6"/>
    <w:rsid w:val="00612117"/>
    <w:rsid w:val="0061260B"/>
    <w:rsid w:val="00623758"/>
    <w:rsid w:val="006333F0"/>
    <w:rsid w:val="006342FF"/>
    <w:rsid w:val="006358C8"/>
    <w:rsid w:val="0064078C"/>
    <w:rsid w:val="00640E5C"/>
    <w:rsid w:val="00641D79"/>
    <w:rsid w:val="00641E73"/>
    <w:rsid w:val="00642C2E"/>
    <w:rsid w:val="0064335C"/>
    <w:rsid w:val="00643435"/>
    <w:rsid w:val="00650294"/>
    <w:rsid w:val="00650DE6"/>
    <w:rsid w:val="00651C6E"/>
    <w:rsid w:val="00651ECA"/>
    <w:rsid w:val="006542F4"/>
    <w:rsid w:val="00654EE4"/>
    <w:rsid w:val="0065520A"/>
    <w:rsid w:val="00657E86"/>
    <w:rsid w:val="006606DA"/>
    <w:rsid w:val="00660E37"/>
    <w:rsid w:val="00665A2D"/>
    <w:rsid w:val="00666E6D"/>
    <w:rsid w:val="00671C46"/>
    <w:rsid w:val="00671D90"/>
    <w:rsid w:val="00677A73"/>
    <w:rsid w:val="00682006"/>
    <w:rsid w:val="00683772"/>
    <w:rsid w:val="00687B9F"/>
    <w:rsid w:val="00694692"/>
    <w:rsid w:val="006A3101"/>
    <w:rsid w:val="006A3371"/>
    <w:rsid w:val="006A3E8F"/>
    <w:rsid w:val="006B1106"/>
    <w:rsid w:val="006B27B3"/>
    <w:rsid w:val="006B286A"/>
    <w:rsid w:val="006B3238"/>
    <w:rsid w:val="006B3517"/>
    <w:rsid w:val="006B4136"/>
    <w:rsid w:val="006B4C61"/>
    <w:rsid w:val="006C1062"/>
    <w:rsid w:val="006C369C"/>
    <w:rsid w:val="006C408D"/>
    <w:rsid w:val="006D2B95"/>
    <w:rsid w:val="006D2E16"/>
    <w:rsid w:val="006D60E1"/>
    <w:rsid w:val="006E06F3"/>
    <w:rsid w:val="006E0FCB"/>
    <w:rsid w:val="006E12CB"/>
    <w:rsid w:val="006E1C4F"/>
    <w:rsid w:val="006E20E5"/>
    <w:rsid w:val="006E2D00"/>
    <w:rsid w:val="006E4409"/>
    <w:rsid w:val="006E63EA"/>
    <w:rsid w:val="006F0C68"/>
    <w:rsid w:val="006F11CA"/>
    <w:rsid w:val="006F2277"/>
    <w:rsid w:val="006F2777"/>
    <w:rsid w:val="006F662E"/>
    <w:rsid w:val="007019F1"/>
    <w:rsid w:val="00701E6B"/>
    <w:rsid w:val="007056B7"/>
    <w:rsid w:val="007061D2"/>
    <w:rsid w:val="007073BA"/>
    <w:rsid w:val="007076F2"/>
    <w:rsid w:val="00707F79"/>
    <w:rsid w:val="00711984"/>
    <w:rsid w:val="007119F9"/>
    <w:rsid w:val="00716ECA"/>
    <w:rsid w:val="00721653"/>
    <w:rsid w:val="00721882"/>
    <w:rsid w:val="00723096"/>
    <w:rsid w:val="00732F7E"/>
    <w:rsid w:val="00734E60"/>
    <w:rsid w:val="007368B4"/>
    <w:rsid w:val="007401DF"/>
    <w:rsid w:val="00740A8E"/>
    <w:rsid w:val="00740D4C"/>
    <w:rsid w:val="00741387"/>
    <w:rsid w:val="00741944"/>
    <w:rsid w:val="0074395A"/>
    <w:rsid w:val="00745C01"/>
    <w:rsid w:val="00747ACA"/>
    <w:rsid w:val="00750553"/>
    <w:rsid w:val="00754B67"/>
    <w:rsid w:val="00756DA1"/>
    <w:rsid w:val="007578AE"/>
    <w:rsid w:val="00757E0E"/>
    <w:rsid w:val="007615D6"/>
    <w:rsid w:val="00761614"/>
    <w:rsid w:val="00761702"/>
    <w:rsid w:val="00762FCC"/>
    <w:rsid w:val="007643CF"/>
    <w:rsid w:val="00766AC5"/>
    <w:rsid w:val="00767849"/>
    <w:rsid w:val="00767E25"/>
    <w:rsid w:val="007712C6"/>
    <w:rsid w:val="00771B1B"/>
    <w:rsid w:val="00773291"/>
    <w:rsid w:val="00774114"/>
    <w:rsid w:val="00774651"/>
    <w:rsid w:val="00780B99"/>
    <w:rsid w:val="007869B2"/>
    <w:rsid w:val="00787A73"/>
    <w:rsid w:val="00790CA4"/>
    <w:rsid w:val="007924C6"/>
    <w:rsid w:val="0079468C"/>
    <w:rsid w:val="007A194B"/>
    <w:rsid w:val="007A287C"/>
    <w:rsid w:val="007A3431"/>
    <w:rsid w:val="007A50E3"/>
    <w:rsid w:val="007A5938"/>
    <w:rsid w:val="007A67A0"/>
    <w:rsid w:val="007A7C99"/>
    <w:rsid w:val="007B0316"/>
    <w:rsid w:val="007B11B8"/>
    <w:rsid w:val="007B2000"/>
    <w:rsid w:val="007B2C64"/>
    <w:rsid w:val="007B4377"/>
    <w:rsid w:val="007B7ECA"/>
    <w:rsid w:val="007C3A52"/>
    <w:rsid w:val="007C6B85"/>
    <w:rsid w:val="007D227B"/>
    <w:rsid w:val="007D233A"/>
    <w:rsid w:val="007D5AA6"/>
    <w:rsid w:val="007E1E37"/>
    <w:rsid w:val="007E6C31"/>
    <w:rsid w:val="007E7E97"/>
    <w:rsid w:val="007F40E6"/>
    <w:rsid w:val="007F4F61"/>
    <w:rsid w:val="007F5DF8"/>
    <w:rsid w:val="007F7DC9"/>
    <w:rsid w:val="0080273A"/>
    <w:rsid w:val="0080412F"/>
    <w:rsid w:val="00805542"/>
    <w:rsid w:val="0081498E"/>
    <w:rsid w:val="00816355"/>
    <w:rsid w:val="008204E2"/>
    <w:rsid w:val="00820F4F"/>
    <w:rsid w:val="008234D3"/>
    <w:rsid w:val="008249A1"/>
    <w:rsid w:val="00831627"/>
    <w:rsid w:val="00833464"/>
    <w:rsid w:val="00844646"/>
    <w:rsid w:val="00844EB6"/>
    <w:rsid w:val="008462D0"/>
    <w:rsid w:val="008470CA"/>
    <w:rsid w:val="0084786C"/>
    <w:rsid w:val="00850221"/>
    <w:rsid w:val="0085327D"/>
    <w:rsid w:val="008572A8"/>
    <w:rsid w:val="008602DE"/>
    <w:rsid w:val="00860FBD"/>
    <w:rsid w:val="00861D6D"/>
    <w:rsid w:val="00863217"/>
    <w:rsid w:val="00863A28"/>
    <w:rsid w:val="00866E8D"/>
    <w:rsid w:val="008706A5"/>
    <w:rsid w:val="00871608"/>
    <w:rsid w:val="008722A6"/>
    <w:rsid w:val="00873BCD"/>
    <w:rsid w:val="00874CA6"/>
    <w:rsid w:val="00875380"/>
    <w:rsid w:val="00875E63"/>
    <w:rsid w:val="00875FBC"/>
    <w:rsid w:val="008772D0"/>
    <w:rsid w:val="00880771"/>
    <w:rsid w:val="00880FB8"/>
    <w:rsid w:val="008814E6"/>
    <w:rsid w:val="008860CA"/>
    <w:rsid w:val="008903E5"/>
    <w:rsid w:val="00891B88"/>
    <w:rsid w:val="0089282A"/>
    <w:rsid w:val="008928DC"/>
    <w:rsid w:val="00892CEE"/>
    <w:rsid w:val="0089457D"/>
    <w:rsid w:val="008945D0"/>
    <w:rsid w:val="00895B0F"/>
    <w:rsid w:val="008A0FA6"/>
    <w:rsid w:val="008A1CF6"/>
    <w:rsid w:val="008A40EA"/>
    <w:rsid w:val="008A47C0"/>
    <w:rsid w:val="008A4867"/>
    <w:rsid w:val="008A6D80"/>
    <w:rsid w:val="008A74A2"/>
    <w:rsid w:val="008B7E78"/>
    <w:rsid w:val="008C2338"/>
    <w:rsid w:val="008C2B16"/>
    <w:rsid w:val="008C439B"/>
    <w:rsid w:val="008C7B61"/>
    <w:rsid w:val="008D1AC8"/>
    <w:rsid w:val="008D2697"/>
    <w:rsid w:val="008D6197"/>
    <w:rsid w:val="008D6986"/>
    <w:rsid w:val="008D781B"/>
    <w:rsid w:val="008E0C22"/>
    <w:rsid w:val="008E1050"/>
    <w:rsid w:val="008E186D"/>
    <w:rsid w:val="008E2966"/>
    <w:rsid w:val="008E2CAE"/>
    <w:rsid w:val="008E5D0A"/>
    <w:rsid w:val="008E7343"/>
    <w:rsid w:val="008F2538"/>
    <w:rsid w:val="008F2C37"/>
    <w:rsid w:val="008F6210"/>
    <w:rsid w:val="008F6226"/>
    <w:rsid w:val="008F6B1A"/>
    <w:rsid w:val="00900A2E"/>
    <w:rsid w:val="00901A8C"/>
    <w:rsid w:val="0090359C"/>
    <w:rsid w:val="009037ED"/>
    <w:rsid w:val="00905EBF"/>
    <w:rsid w:val="009070FD"/>
    <w:rsid w:val="00911635"/>
    <w:rsid w:val="009167DA"/>
    <w:rsid w:val="00916AD7"/>
    <w:rsid w:val="00916EB7"/>
    <w:rsid w:val="00920971"/>
    <w:rsid w:val="00921345"/>
    <w:rsid w:val="0092153E"/>
    <w:rsid w:val="0092323E"/>
    <w:rsid w:val="009232CD"/>
    <w:rsid w:val="009272F3"/>
    <w:rsid w:val="0092755C"/>
    <w:rsid w:val="009279AA"/>
    <w:rsid w:val="00930A3C"/>
    <w:rsid w:val="00931BF5"/>
    <w:rsid w:val="00932B0E"/>
    <w:rsid w:val="00934D95"/>
    <w:rsid w:val="00935987"/>
    <w:rsid w:val="0094010B"/>
    <w:rsid w:val="0094303A"/>
    <w:rsid w:val="00943B0C"/>
    <w:rsid w:val="00945401"/>
    <w:rsid w:val="00945581"/>
    <w:rsid w:val="00951E8C"/>
    <w:rsid w:val="00957422"/>
    <w:rsid w:val="00957B4B"/>
    <w:rsid w:val="00960E96"/>
    <w:rsid w:val="0096167D"/>
    <w:rsid w:val="00961999"/>
    <w:rsid w:val="0096220D"/>
    <w:rsid w:val="00962C5D"/>
    <w:rsid w:val="00964063"/>
    <w:rsid w:val="0096429D"/>
    <w:rsid w:val="00964853"/>
    <w:rsid w:val="00964D87"/>
    <w:rsid w:val="0096560E"/>
    <w:rsid w:val="009661ED"/>
    <w:rsid w:val="0097142E"/>
    <w:rsid w:val="00973401"/>
    <w:rsid w:val="00973BA1"/>
    <w:rsid w:val="00973ED1"/>
    <w:rsid w:val="009749A0"/>
    <w:rsid w:val="009750BD"/>
    <w:rsid w:val="009755A4"/>
    <w:rsid w:val="0098488B"/>
    <w:rsid w:val="0098637E"/>
    <w:rsid w:val="00986BB8"/>
    <w:rsid w:val="009877CF"/>
    <w:rsid w:val="009877F3"/>
    <w:rsid w:val="00991239"/>
    <w:rsid w:val="00992E97"/>
    <w:rsid w:val="0099353C"/>
    <w:rsid w:val="009A273E"/>
    <w:rsid w:val="009A2DDD"/>
    <w:rsid w:val="009A3099"/>
    <w:rsid w:val="009A34A3"/>
    <w:rsid w:val="009A56A1"/>
    <w:rsid w:val="009A67DA"/>
    <w:rsid w:val="009A76B0"/>
    <w:rsid w:val="009B2F99"/>
    <w:rsid w:val="009C0D43"/>
    <w:rsid w:val="009C201C"/>
    <w:rsid w:val="009C35DA"/>
    <w:rsid w:val="009C37A2"/>
    <w:rsid w:val="009C5B54"/>
    <w:rsid w:val="009C63E3"/>
    <w:rsid w:val="009D2F71"/>
    <w:rsid w:val="009D5A91"/>
    <w:rsid w:val="009D737D"/>
    <w:rsid w:val="009E03AB"/>
    <w:rsid w:val="009E292D"/>
    <w:rsid w:val="009E3EC7"/>
    <w:rsid w:val="009E749C"/>
    <w:rsid w:val="009F0A04"/>
    <w:rsid w:val="009F28E4"/>
    <w:rsid w:val="009F325A"/>
    <w:rsid w:val="009F72AE"/>
    <w:rsid w:val="00A00ABB"/>
    <w:rsid w:val="00A00E24"/>
    <w:rsid w:val="00A03372"/>
    <w:rsid w:val="00A04F2E"/>
    <w:rsid w:val="00A052DF"/>
    <w:rsid w:val="00A13D77"/>
    <w:rsid w:val="00A14798"/>
    <w:rsid w:val="00A17819"/>
    <w:rsid w:val="00A21799"/>
    <w:rsid w:val="00A2287B"/>
    <w:rsid w:val="00A25957"/>
    <w:rsid w:val="00A25C60"/>
    <w:rsid w:val="00A26716"/>
    <w:rsid w:val="00A31A79"/>
    <w:rsid w:val="00A3466B"/>
    <w:rsid w:val="00A34808"/>
    <w:rsid w:val="00A420DB"/>
    <w:rsid w:val="00A426CD"/>
    <w:rsid w:val="00A43D53"/>
    <w:rsid w:val="00A45AC7"/>
    <w:rsid w:val="00A477D4"/>
    <w:rsid w:val="00A47B19"/>
    <w:rsid w:val="00A50A33"/>
    <w:rsid w:val="00A528B0"/>
    <w:rsid w:val="00A52DF4"/>
    <w:rsid w:val="00A53AD8"/>
    <w:rsid w:val="00A53E54"/>
    <w:rsid w:val="00A5585C"/>
    <w:rsid w:val="00A56B1C"/>
    <w:rsid w:val="00A62F09"/>
    <w:rsid w:val="00A62F4A"/>
    <w:rsid w:val="00A71AB4"/>
    <w:rsid w:val="00A71C7B"/>
    <w:rsid w:val="00A7440E"/>
    <w:rsid w:val="00A74EFD"/>
    <w:rsid w:val="00A76655"/>
    <w:rsid w:val="00A80E0F"/>
    <w:rsid w:val="00A80FA4"/>
    <w:rsid w:val="00A839F3"/>
    <w:rsid w:val="00A85A74"/>
    <w:rsid w:val="00A86421"/>
    <w:rsid w:val="00A87D53"/>
    <w:rsid w:val="00A90AB8"/>
    <w:rsid w:val="00A92042"/>
    <w:rsid w:val="00A92854"/>
    <w:rsid w:val="00A9529B"/>
    <w:rsid w:val="00A9567F"/>
    <w:rsid w:val="00A96DC5"/>
    <w:rsid w:val="00AA056B"/>
    <w:rsid w:val="00AA45AD"/>
    <w:rsid w:val="00AA49B0"/>
    <w:rsid w:val="00AA5D65"/>
    <w:rsid w:val="00AA67DB"/>
    <w:rsid w:val="00AA7DAC"/>
    <w:rsid w:val="00AB1848"/>
    <w:rsid w:val="00AB3646"/>
    <w:rsid w:val="00AC5560"/>
    <w:rsid w:val="00AC69ED"/>
    <w:rsid w:val="00AD3143"/>
    <w:rsid w:val="00AD60BF"/>
    <w:rsid w:val="00AE21A7"/>
    <w:rsid w:val="00AE2C46"/>
    <w:rsid w:val="00AE48B7"/>
    <w:rsid w:val="00AE6B41"/>
    <w:rsid w:val="00AF0CD2"/>
    <w:rsid w:val="00AF1220"/>
    <w:rsid w:val="00AF1ABE"/>
    <w:rsid w:val="00AF6A16"/>
    <w:rsid w:val="00B03144"/>
    <w:rsid w:val="00B043B6"/>
    <w:rsid w:val="00B055A9"/>
    <w:rsid w:val="00B07659"/>
    <w:rsid w:val="00B10271"/>
    <w:rsid w:val="00B120F1"/>
    <w:rsid w:val="00B1275A"/>
    <w:rsid w:val="00B14D85"/>
    <w:rsid w:val="00B167B4"/>
    <w:rsid w:val="00B16DDE"/>
    <w:rsid w:val="00B1707C"/>
    <w:rsid w:val="00B17355"/>
    <w:rsid w:val="00B20B6F"/>
    <w:rsid w:val="00B23A9D"/>
    <w:rsid w:val="00B263BC"/>
    <w:rsid w:val="00B269A4"/>
    <w:rsid w:val="00B27D0D"/>
    <w:rsid w:val="00B27EF3"/>
    <w:rsid w:val="00B30C59"/>
    <w:rsid w:val="00B30D2F"/>
    <w:rsid w:val="00B30EC3"/>
    <w:rsid w:val="00B31F1A"/>
    <w:rsid w:val="00B3478A"/>
    <w:rsid w:val="00B34A4F"/>
    <w:rsid w:val="00B37746"/>
    <w:rsid w:val="00B427B8"/>
    <w:rsid w:val="00B43C08"/>
    <w:rsid w:val="00B4608D"/>
    <w:rsid w:val="00B52AF2"/>
    <w:rsid w:val="00B53E53"/>
    <w:rsid w:val="00B56263"/>
    <w:rsid w:val="00B613C3"/>
    <w:rsid w:val="00B621A1"/>
    <w:rsid w:val="00B72CBA"/>
    <w:rsid w:val="00B7304A"/>
    <w:rsid w:val="00B746D1"/>
    <w:rsid w:val="00B7563B"/>
    <w:rsid w:val="00B8139E"/>
    <w:rsid w:val="00B81770"/>
    <w:rsid w:val="00B8290E"/>
    <w:rsid w:val="00B837E0"/>
    <w:rsid w:val="00B84700"/>
    <w:rsid w:val="00B84DF3"/>
    <w:rsid w:val="00B85237"/>
    <w:rsid w:val="00B85B45"/>
    <w:rsid w:val="00B860B9"/>
    <w:rsid w:val="00B8660F"/>
    <w:rsid w:val="00B866D4"/>
    <w:rsid w:val="00B869CE"/>
    <w:rsid w:val="00B87B59"/>
    <w:rsid w:val="00B94E84"/>
    <w:rsid w:val="00BA13A1"/>
    <w:rsid w:val="00BA2688"/>
    <w:rsid w:val="00BA26D0"/>
    <w:rsid w:val="00BA34C6"/>
    <w:rsid w:val="00BA35B1"/>
    <w:rsid w:val="00BA4B08"/>
    <w:rsid w:val="00BB25E0"/>
    <w:rsid w:val="00BB32E5"/>
    <w:rsid w:val="00BB567C"/>
    <w:rsid w:val="00BC0099"/>
    <w:rsid w:val="00BC3A13"/>
    <w:rsid w:val="00BC40BB"/>
    <w:rsid w:val="00BD03D1"/>
    <w:rsid w:val="00BD3DE7"/>
    <w:rsid w:val="00BD4977"/>
    <w:rsid w:val="00BD4F23"/>
    <w:rsid w:val="00BD6F0F"/>
    <w:rsid w:val="00BE0D36"/>
    <w:rsid w:val="00BE1FB6"/>
    <w:rsid w:val="00BE2400"/>
    <w:rsid w:val="00BE3C84"/>
    <w:rsid w:val="00BE3DF1"/>
    <w:rsid w:val="00BE4063"/>
    <w:rsid w:val="00BE4C95"/>
    <w:rsid w:val="00BE7252"/>
    <w:rsid w:val="00BE79B4"/>
    <w:rsid w:val="00BF049B"/>
    <w:rsid w:val="00BF6EFD"/>
    <w:rsid w:val="00C019D8"/>
    <w:rsid w:val="00C055B0"/>
    <w:rsid w:val="00C06D46"/>
    <w:rsid w:val="00C108AD"/>
    <w:rsid w:val="00C136DA"/>
    <w:rsid w:val="00C161A0"/>
    <w:rsid w:val="00C16B7D"/>
    <w:rsid w:val="00C2060F"/>
    <w:rsid w:val="00C21D64"/>
    <w:rsid w:val="00C21FF3"/>
    <w:rsid w:val="00C238B3"/>
    <w:rsid w:val="00C23906"/>
    <w:rsid w:val="00C23EC2"/>
    <w:rsid w:val="00C3015A"/>
    <w:rsid w:val="00C335B2"/>
    <w:rsid w:val="00C34361"/>
    <w:rsid w:val="00C352F9"/>
    <w:rsid w:val="00C35A57"/>
    <w:rsid w:val="00C36337"/>
    <w:rsid w:val="00C37AAF"/>
    <w:rsid w:val="00C4053F"/>
    <w:rsid w:val="00C40E30"/>
    <w:rsid w:val="00C42238"/>
    <w:rsid w:val="00C4564B"/>
    <w:rsid w:val="00C463F0"/>
    <w:rsid w:val="00C505C2"/>
    <w:rsid w:val="00C50C31"/>
    <w:rsid w:val="00C53642"/>
    <w:rsid w:val="00C547B6"/>
    <w:rsid w:val="00C54A0D"/>
    <w:rsid w:val="00C575A8"/>
    <w:rsid w:val="00C648B3"/>
    <w:rsid w:val="00C65F89"/>
    <w:rsid w:val="00C6740C"/>
    <w:rsid w:val="00C700BB"/>
    <w:rsid w:val="00C70FFA"/>
    <w:rsid w:val="00C76884"/>
    <w:rsid w:val="00C76C55"/>
    <w:rsid w:val="00C779B3"/>
    <w:rsid w:val="00C83F14"/>
    <w:rsid w:val="00C84A8A"/>
    <w:rsid w:val="00C8636F"/>
    <w:rsid w:val="00C9045C"/>
    <w:rsid w:val="00C918E0"/>
    <w:rsid w:val="00C9208E"/>
    <w:rsid w:val="00C92798"/>
    <w:rsid w:val="00C96DC9"/>
    <w:rsid w:val="00C97486"/>
    <w:rsid w:val="00CA347C"/>
    <w:rsid w:val="00CA5BEC"/>
    <w:rsid w:val="00CB13A2"/>
    <w:rsid w:val="00CB44EC"/>
    <w:rsid w:val="00CC037A"/>
    <w:rsid w:val="00CC2D99"/>
    <w:rsid w:val="00CC4204"/>
    <w:rsid w:val="00CD1416"/>
    <w:rsid w:val="00CD1C29"/>
    <w:rsid w:val="00CD34AD"/>
    <w:rsid w:val="00CD4C5E"/>
    <w:rsid w:val="00CD5507"/>
    <w:rsid w:val="00CD67D4"/>
    <w:rsid w:val="00CD6C5F"/>
    <w:rsid w:val="00CE17F1"/>
    <w:rsid w:val="00CE274D"/>
    <w:rsid w:val="00CE4A3E"/>
    <w:rsid w:val="00CE6E37"/>
    <w:rsid w:val="00CE713C"/>
    <w:rsid w:val="00CF338F"/>
    <w:rsid w:val="00CF43F6"/>
    <w:rsid w:val="00CF540E"/>
    <w:rsid w:val="00CF79C9"/>
    <w:rsid w:val="00D07B0B"/>
    <w:rsid w:val="00D15EF2"/>
    <w:rsid w:val="00D1705C"/>
    <w:rsid w:val="00D2158B"/>
    <w:rsid w:val="00D223D6"/>
    <w:rsid w:val="00D22A3C"/>
    <w:rsid w:val="00D23492"/>
    <w:rsid w:val="00D235CD"/>
    <w:rsid w:val="00D25BAC"/>
    <w:rsid w:val="00D26DE7"/>
    <w:rsid w:val="00D321E3"/>
    <w:rsid w:val="00D33A36"/>
    <w:rsid w:val="00D42167"/>
    <w:rsid w:val="00D4389C"/>
    <w:rsid w:val="00D4735B"/>
    <w:rsid w:val="00D51F48"/>
    <w:rsid w:val="00D55D93"/>
    <w:rsid w:val="00D620A8"/>
    <w:rsid w:val="00D62A70"/>
    <w:rsid w:val="00D65DBB"/>
    <w:rsid w:val="00D65EFB"/>
    <w:rsid w:val="00D6682C"/>
    <w:rsid w:val="00D72860"/>
    <w:rsid w:val="00D7416A"/>
    <w:rsid w:val="00D750F0"/>
    <w:rsid w:val="00D758EC"/>
    <w:rsid w:val="00D75CFB"/>
    <w:rsid w:val="00D774B8"/>
    <w:rsid w:val="00D77AFD"/>
    <w:rsid w:val="00D80EA9"/>
    <w:rsid w:val="00D8481B"/>
    <w:rsid w:val="00D86E2E"/>
    <w:rsid w:val="00D8759B"/>
    <w:rsid w:val="00D90DBC"/>
    <w:rsid w:val="00D94862"/>
    <w:rsid w:val="00D95324"/>
    <w:rsid w:val="00D962FA"/>
    <w:rsid w:val="00D97072"/>
    <w:rsid w:val="00D97167"/>
    <w:rsid w:val="00DA08A5"/>
    <w:rsid w:val="00DA462A"/>
    <w:rsid w:val="00DB01FF"/>
    <w:rsid w:val="00DB2EF1"/>
    <w:rsid w:val="00DB54EC"/>
    <w:rsid w:val="00DB5C36"/>
    <w:rsid w:val="00DB64D3"/>
    <w:rsid w:val="00DB6AB9"/>
    <w:rsid w:val="00DC0325"/>
    <w:rsid w:val="00DC0610"/>
    <w:rsid w:val="00DC29EA"/>
    <w:rsid w:val="00DC4A05"/>
    <w:rsid w:val="00DC4E02"/>
    <w:rsid w:val="00DC5229"/>
    <w:rsid w:val="00DC5980"/>
    <w:rsid w:val="00DD0836"/>
    <w:rsid w:val="00DD1859"/>
    <w:rsid w:val="00DD4472"/>
    <w:rsid w:val="00DE0B1A"/>
    <w:rsid w:val="00DE2554"/>
    <w:rsid w:val="00DE4F51"/>
    <w:rsid w:val="00DE7EB1"/>
    <w:rsid w:val="00DF1B56"/>
    <w:rsid w:val="00DF26AD"/>
    <w:rsid w:val="00DF28DE"/>
    <w:rsid w:val="00DF628C"/>
    <w:rsid w:val="00E00103"/>
    <w:rsid w:val="00E0011A"/>
    <w:rsid w:val="00E00F66"/>
    <w:rsid w:val="00E016F1"/>
    <w:rsid w:val="00E02737"/>
    <w:rsid w:val="00E04D40"/>
    <w:rsid w:val="00E10F17"/>
    <w:rsid w:val="00E1158A"/>
    <w:rsid w:val="00E142DC"/>
    <w:rsid w:val="00E1576C"/>
    <w:rsid w:val="00E15E08"/>
    <w:rsid w:val="00E17AED"/>
    <w:rsid w:val="00E20386"/>
    <w:rsid w:val="00E23329"/>
    <w:rsid w:val="00E23408"/>
    <w:rsid w:val="00E238CE"/>
    <w:rsid w:val="00E25BD1"/>
    <w:rsid w:val="00E31012"/>
    <w:rsid w:val="00E310DE"/>
    <w:rsid w:val="00E315CE"/>
    <w:rsid w:val="00E359D7"/>
    <w:rsid w:val="00E36DE1"/>
    <w:rsid w:val="00E45F2B"/>
    <w:rsid w:val="00E46EE3"/>
    <w:rsid w:val="00E51D70"/>
    <w:rsid w:val="00E5243F"/>
    <w:rsid w:val="00E54E09"/>
    <w:rsid w:val="00E57701"/>
    <w:rsid w:val="00E57FAA"/>
    <w:rsid w:val="00E61AD2"/>
    <w:rsid w:val="00E636F0"/>
    <w:rsid w:val="00E63F0D"/>
    <w:rsid w:val="00E645BF"/>
    <w:rsid w:val="00E662D2"/>
    <w:rsid w:val="00E670DF"/>
    <w:rsid w:val="00E70FA4"/>
    <w:rsid w:val="00E75FA3"/>
    <w:rsid w:val="00E76B2D"/>
    <w:rsid w:val="00E80587"/>
    <w:rsid w:val="00E809EC"/>
    <w:rsid w:val="00E82885"/>
    <w:rsid w:val="00E83231"/>
    <w:rsid w:val="00E83D24"/>
    <w:rsid w:val="00E848F9"/>
    <w:rsid w:val="00E84E57"/>
    <w:rsid w:val="00E9519F"/>
    <w:rsid w:val="00E96B53"/>
    <w:rsid w:val="00E97338"/>
    <w:rsid w:val="00EA0422"/>
    <w:rsid w:val="00EA1283"/>
    <w:rsid w:val="00EA12DF"/>
    <w:rsid w:val="00EA1D0D"/>
    <w:rsid w:val="00EA2323"/>
    <w:rsid w:val="00EA2A08"/>
    <w:rsid w:val="00EA4856"/>
    <w:rsid w:val="00EA4F1B"/>
    <w:rsid w:val="00EA67F3"/>
    <w:rsid w:val="00EA6A73"/>
    <w:rsid w:val="00EA730C"/>
    <w:rsid w:val="00EA7B17"/>
    <w:rsid w:val="00EB37E8"/>
    <w:rsid w:val="00EC1CC3"/>
    <w:rsid w:val="00EC204A"/>
    <w:rsid w:val="00EC29AC"/>
    <w:rsid w:val="00EC762E"/>
    <w:rsid w:val="00ED07E7"/>
    <w:rsid w:val="00ED0C2A"/>
    <w:rsid w:val="00ED2B20"/>
    <w:rsid w:val="00ED4C6E"/>
    <w:rsid w:val="00ED5730"/>
    <w:rsid w:val="00ED6077"/>
    <w:rsid w:val="00EE1BB4"/>
    <w:rsid w:val="00EE4124"/>
    <w:rsid w:val="00EE48A8"/>
    <w:rsid w:val="00EE6AF9"/>
    <w:rsid w:val="00EE7F5B"/>
    <w:rsid w:val="00EF01A5"/>
    <w:rsid w:val="00EF0E7C"/>
    <w:rsid w:val="00EF1D32"/>
    <w:rsid w:val="00EF5932"/>
    <w:rsid w:val="00EF7599"/>
    <w:rsid w:val="00EF7FC0"/>
    <w:rsid w:val="00F04F97"/>
    <w:rsid w:val="00F114D1"/>
    <w:rsid w:val="00F13155"/>
    <w:rsid w:val="00F1525E"/>
    <w:rsid w:val="00F16EEB"/>
    <w:rsid w:val="00F174CF"/>
    <w:rsid w:val="00F20463"/>
    <w:rsid w:val="00F20A22"/>
    <w:rsid w:val="00F20ECA"/>
    <w:rsid w:val="00F2394B"/>
    <w:rsid w:val="00F23CE9"/>
    <w:rsid w:val="00F2419C"/>
    <w:rsid w:val="00F24311"/>
    <w:rsid w:val="00F24A5F"/>
    <w:rsid w:val="00F264C1"/>
    <w:rsid w:val="00F27941"/>
    <w:rsid w:val="00F3382F"/>
    <w:rsid w:val="00F35059"/>
    <w:rsid w:val="00F418B1"/>
    <w:rsid w:val="00F42C64"/>
    <w:rsid w:val="00F43363"/>
    <w:rsid w:val="00F43EBA"/>
    <w:rsid w:val="00F44311"/>
    <w:rsid w:val="00F44468"/>
    <w:rsid w:val="00F44A99"/>
    <w:rsid w:val="00F47A21"/>
    <w:rsid w:val="00F52250"/>
    <w:rsid w:val="00F54036"/>
    <w:rsid w:val="00F5584A"/>
    <w:rsid w:val="00F56C2D"/>
    <w:rsid w:val="00F572ED"/>
    <w:rsid w:val="00F5756B"/>
    <w:rsid w:val="00F5770D"/>
    <w:rsid w:val="00F579B9"/>
    <w:rsid w:val="00F6099B"/>
    <w:rsid w:val="00F62A4F"/>
    <w:rsid w:val="00F7204D"/>
    <w:rsid w:val="00F75037"/>
    <w:rsid w:val="00F7545A"/>
    <w:rsid w:val="00F80F1F"/>
    <w:rsid w:val="00F84215"/>
    <w:rsid w:val="00F84EB9"/>
    <w:rsid w:val="00F85E15"/>
    <w:rsid w:val="00F909DD"/>
    <w:rsid w:val="00F92F86"/>
    <w:rsid w:val="00F93B3E"/>
    <w:rsid w:val="00F94B81"/>
    <w:rsid w:val="00F9518E"/>
    <w:rsid w:val="00F973F1"/>
    <w:rsid w:val="00F974DC"/>
    <w:rsid w:val="00F97852"/>
    <w:rsid w:val="00FA094A"/>
    <w:rsid w:val="00FA4D82"/>
    <w:rsid w:val="00FA6B69"/>
    <w:rsid w:val="00FA7929"/>
    <w:rsid w:val="00FB143A"/>
    <w:rsid w:val="00FB6849"/>
    <w:rsid w:val="00FB6A8D"/>
    <w:rsid w:val="00FB6C35"/>
    <w:rsid w:val="00FC1B11"/>
    <w:rsid w:val="00FC2F54"/>
    <w:rsid w:val="00FC6258"/>
    <w:rsid w:val="00FC6F12"/>
    <w:rsid w:val="00FC7721"/>
    <w:rsid w:val="00FD2464"/>
    <w:rsid w:val="00FD2EE3"/>
    <w:rsid w:val="00FD3AE7"/>
    <w:rsid w:val="00FD45BC"/>
    <w:rsid w:val="00FE053D"/>
    <w:rsid w:val="00FE08AF"/>
    <w:rsid w:val="00FE6B6B"/>
    <w:rsid w:val="00FF395C"/>
    <w:rsid w:val="00FF4F30"/>
    <w:rsid w:val="00FF7A4C"/>
    <w:rsid w:val="01252224"/>
    <w:rsid w:val="018502B5"/>
    <w:rsid w:val="020A27FA"/>
    <w:rsid w:val="02451AFA"/>
    <w:rsid w:val="03051F1A"/>
    <w:rsid w:val="03123DCA"/>
    <w:rsid w:val="0334131B"/>
    <w:rsid w:val="0361273A"/>
    <w:rsid w:val="04405814"/>
    <w:rsid w:val="048F14EA"/>
    <w:rsid w:val="04F07245"/>
    <w:rsid w:val="05940AF5"/>
    <w:rsid w:val="05C66BB1"/>
    <w:rsid w:val="05FE7E2E"/>
    <w:rsid w:val="06712C93"/>
    <w:rsid w:val="068C5C42"/>
    <w:rsid w:val="072056C7"/>
    <w:rsid w:val="07215A0C"/>
    <w:rsid w:val="073101A0"/>
    <w:rsid w:val="075B1E40"/>
    <w:rsid w:val="07E92BD4"/>
    <w:rsid w:val="08585A8F"/>
    <w:rsid w:val="088C5D8F"/>
    <w:rsid w:val="089869AC"/>
    <w:rsid w:val="089B7ABE"/>
    <w:rsid w:val="08A812D2"/>
    <w:rsid w:val="08D73BB5"/>
    <w:rsid w:val="09067810"/>
    <w:rsid w:val="09417EA6"/>
    <w:rsid w:val="09D71731"/>
    <w:rsid w:val="09DB5632"/>
    <w:rsid w:val="0A0E1675"/>
    <w:rsid w:val="0A5F3E9A"/>
    <w:rsid w:val="0A612B9C"/>
    <w:rsid w:val="0AB96AC4"/>
    <w:rsid w:val="0ABD7054"/>
    <w:rsid w:val="0AE440F4"/>
    <w:rsid w:val="0B310B66"/>
    <w:rsid w:val="0B5B0488"/>
    <w:rsid w:val="0BB07302"/>
    <w:rsid w:val="0C5E598A"/>
    <w:rsid w:val="0C62191E"/>
    <w:rsid w:val="0CD71295"/>
    <w:rsid w:val="0CEA78CE"/>
    <w:rsid w:val="0D801362"/>
    <w:rsid w:val="0DAC06E5"/>
    <w:rsid w:val="0DB95B97"/>
    <w:rsid w:val="0EAD0F04"/>
    <w:rsid w:val="0EBB70C4"/>
    <w:rsid w:val="0F9F0DAC"/>
    <w:rsid w:val="0FB3423F"/>
    <w:rsid w:val="0FBA381F"/>
    <w:rsid w:val="0FE10DAC"/>
    <w:rsid w:val="10920DE1"/>
    <w:rsid w:val="10A21166"/>
    <w:rsid w:val="11196FB3"/>
    <w:rsid w:val="119946BF"/>
    <w:rsid w:val="12AF5192"/>
    <w:rsid w:val="12F84B0B"/>
    <w:rsid w:val="13101812"/>
    <w:rsid w:val="13210873"/>
    <w:rsid w:val="133D70DE"/>
    <w:rsid w:val="1352248A"/>
    <w:rsid w:val="141D25CF"/>
    <w:rsid w:val="143F2545"/>
    <w:rsid w:val="145429CC"/>
    <w:rsid w:val="14A30B7E"/>
    <w:rsid w:val="14F87B27"/>
    <w:rsid w:val="15864512"/>
    <w:rsid w:val="159B354C"/>
    <w:rsid w:val="15C70A9C"/>
    <w:rsid w:val="15C947BC"/>
    <w:rsid w:val="15DA5DF3"/>
    <w:rsid w:val="16036A96"/>
    <w:rsid w:val="160C2424"/>
    <w:rsid w:val="167179C0"/>
    <w:rsid w:val="16A905C7"/>
    <w:rsid w:val="16C706E6"/>
    <w:rsid w:val="16C97A7F"/>
    <w:rsid w:val="171A6169"/>
    <w:rsid w:val="17454196"/>
    <w:rsid w:val="17604643"/>
    <w:rsid w:val="177F639C"/>
    <w:rsid w:val="17921F53"/>
    <w:rsid w:val="18016BC3"/>
    <w:rsid w:val="18720F56"/>
    <w:rsid w:val="18907E9D"/>
    <w:rsid w:val="197F68A3"/>
    <w:rsid w:val="19AD01EC"/>
    <w:rsid w:val="19B63F76"/>
    <w:rsid w:val="19EC7F41"/>
    <w:rsid w:val="19F53CBC"/>
    <w:rsid w:val="1A186B73"/>
    <w:rsid w:val="1A6B7567"/>
    <w:rsid w:val="1A735AAB"/>
    <w:rsid w:val="1AB33345"/>
    <w:rsid w:val="1AC150B4"/>
    <w:rsid w:val="1ADC0670"/>
    <w:rsid w:val="1B2A15F3"/>
    <w:rsid w:val="1B5D0991"/>
    <w:rsid w:val="1B6A2295"/>
    <w:rsid w:val="1BB05FB9"/>
    <w:rsid w:val="1BED2887"/>
    <w:rsid w:val="1C1678EA"/>
    <w:rsid w:val="1C2C1B97"/>
    <w:rsid w:val="1C3B49A0"/>
    <w:rsid w:val="1C755DE9"/>
    <w:rsid w:val="1CC5436D"/>
    <w:rsid w:val="1CD14CE7"/>
    <w:rsid w:val="1CE8431F"/>
    <w:rsid w:val="1D4D182F"/>
    <w:rsid w:val="1D533029"/>
    <w:rsid w:val="1D542861"/>
    <w:rsid w:val="1D836C9C"/>
    <w:rsid w:val="1DE303E5"/>
    <w:rsid w:val="1DE622EC"/>
    <w:rsid w:val="1E3505AC"/>
    <w:rsid w:val="1E8079E2"/>
    <w:rsid w:val="1E944404"/>
    <w:rsid w:val="1F4D1F21"/>
    <w:rsid w:val="1FD977A9"/>
    <w:rsid w:val="1FEF0694"/>
    <w:rsid w:val="202A22FB"/>
    <w:rsid w:val="202E0734"/>
    <w:rsid w:val="203D036F"/>
    <w:rsid w:val="2096264C"/>
    <w:rsid w:val="20B62501"/>
    <w:rsid w:val="21054864"/>
    <w:rsid w:val="214D0FB5"/>
    <w:rsid w:val="21890675"/>
    <w:rsid w:val="218D51B0"/>
    <w:rsid w:val="218E47C9"/>
    <w:rsid w:val="21A86044"/>
    <w:rsid w:val="21D30B38"/>
    <w:rsid w:val="21D70BB5"/>
    <w:rsid w:val="21FA7EE0"/>
    <w:rsid w:val="22245514"/>
    <w:rsid w:val="22456237"/>
    <w:rsid w:val="227009D4"/>
    <w:rsid w:val="228026A7"/>
    <w:rsid w:val="22813ADC"/>
    <w:rsid w:val="230A3639"/>
    <w:rsid w:val="231C1E3F"/>
    <w:rsid w:val="233D2346"/>
    <w:rsid w:val="235D0CC7"/>
    <w:rsid w:val="23E43FD0"/>
    <w:rsid w:val="23EF01D0"/>
    <w:rsid w:val="24D62123"/>
    <w:rsid w:val="25352600"/>
    <w:rsid w:val="2580651A"/>
    <w:rsid w:val="25F51137"/>
    <w:rsid w:val="25FA68C7"/>
    <w:rsid w:val="2650034B"/>
    <w:rsid w:val="268D74C9"/>
    <w:rsid w:val="26F46E30"/>
    <w:rsid w:val="273E5511"/>
    <w:rsid w:val="27704DA4"/>
    <w:rsid w:val="279903E2"/>
    <w:rsid w:val="27AC6324"/>
    <w:rsid w:val="288E533C"/>
    <w:rsid w:val="28A2003D"/>
    <w:rsid w:val="28C315BC"/>
    <w:rsid w:val="29906056"/>
    <w:rsid w:val="2A530082"/>
    <w:rsid w:val="2A93796F"/>
    <w:rsid w:val="2AB949A8"/>
    <w:rsid w:val="2ACB6D8B"/>
    <w:rsid w:val="2AEA6FDB"/>
    <w:rsid w:val="2AFD79E6"/>
    <w:rsid w:val="2B0A3E41"/>
    <w:rsid w:val="2B3E677B"/>
    <w:rsid w:val="2B6739C3"/>
    <w:rsid w:val="2B895CA1"/>
    <w:rsid w:val="2BAE3DE1"/>
    <w:rsid w:val="2BB55ACF"/>
    <w:rsid w:val="2BBB0F48"/>
    <w:rsid w:val="2BDB6BA0"/>
    <w:rsid w:val="2C2107AE"/>
    <w:rsid w:val="2C6114E2"/>
    <w:rsid w:val="2CB81887"/>
    <w:rsid w:val="2D4A4E5E"/>
    <w:rsid w:val="2DCD581F"/>
    <w:rsid w:val="2DD1025A"/>
    <w:rsid w:val="2DDE305F"/>
    <w:rsid w:val="2DE00C12"/>
    <w:rsid w:val="2E141C59"/>
    <w:rsid w:val="2E70701D"/>
    <w:rsid w:val="2F32243F"/>
    <w:rsid w:val="2F5335CB"/>
    <w:rsid w:val="2F8D25EA"/>
    <w:rsid w:val="2FE311D7"/>
    <w:rsid w:val="30070B29"/>
    <w:rsid w:val="305303BD"/>
    <w:rsid w:val="30800F32"/>
    <w:rsid w:val="308723F2"/>
    <w:rsid w:val="30975584"/>
    <w:rsid w:val="30A404FB"/>
    <w:rsid w:val="30B5176D"/>
    <w:rsid w:val="30DB7E09"/>
    <w:rsid w:val="30ED44FD"/>
    <w:rsid w:val="310F3E4D"/>
    <w:rsid w:val="3193270D"/>
    <w:rsid w:val="31D76D98"/>
    <w:rsid w:val="31EC03B2"/>
    <w:rsid w:val="32B954EF"/>
    <w:rsid w:val="32EB5B55"/>
    <w:rsid w:val="3392223A"/>
    <w:rsid w:val="33AE6D56"/>
    <w:rsid w:val="348C1BDF"/>
    <w:rsid w:val="354B7275"/>
    <w:rsid w:val="355F439E"/>
    <w:rsid w:val="35A03EC4"/>
    <w:rsid w:val="35A8679F"/>
    <w:rsid w:val="35AE2C2F"/>
    <w:rsid w:val="35CD4AFF"/>
    <w:rsid w:val="35F20D39"/>
    <w:rsid w:val="369D7A46"/>
    <w:rsid w:val="3793032E"/>
    <w:rsid w:val="37B91FDB"/>
    <w:rsid w:val="37DB7748"/>
    <w:rsid w:val="38015C93"/>
    <w:rsid w:val="380E5A96"/>
    <w:rsid w:val="3816738F"/>
    <w:rsid w:val="381C6BD2"/>
    <w:rsid w:val="38397128"/>
    <w:rsid w:val="38CB0A49"/>
    <w:rsid w:val="39431D96"/>
    <w:rsid w:val="3A2A2646"/>
    <w:rsid w:val="3AB86644"/>
    <w:rsid w:val="3B212C15"/>
    <w:rsid w:val="3B46294E"/>
    <w:rsid w:val="3BCD4C13"/>
    <w:rsid w:val="3C0C4B3D"/>
    <w:rsid w:val="3C7D23CD"/>
    <w:rsid w:val="3C904085"/>
    <w:rsid w:val="3D2309B8"/>
    <w:rsid w:val="3DFA13C9"/>
    <w:rsid w:val="3E0E6C20"/>
    <w:rsid w:val="3E4A1FB7"/>
    <w:rsid w:val="3E8B7FB1"/>
    <w:rsid w:val="3EAA7EF6"/>
    <w:rsid w:val="3EB30BB8"/>
    <w:rsid w:val="3EF34362"/>
    <w:rsid w:val="3F760043"/>
    <w:rsid w:val="3F9B46AC"/>
    <w:rsid w:val="40742100"/>
    <w:rsid w:val="40B627C0"/>
    <w:rsid w:val="40FB30CB"/>
    <w:rsid w:val="412231B9"/>
    <w:rsid w:val="418D2867"/>
    <w:rsid w:val="421754F9"/>
    <w:rsid w:val="427174BE"/>
    <w:rsid w:val="428250D3"/>
    <w:rsid w:val="43272DB8"/>
    <w:rsid w:val="43413EB6"/>
    <w:rsid w:val="437454B8"/>
    <w:rsid w:val="43877288"/>
    <w:rsid w:val="43F06060"/>
    <w:rsid w:val="43F76143"/>
    <w:rsid w:val="44004F9E"/>
    <w:rsid w:val="443660A0"/>
    <w:rsid w:val="449456E3"/>
    <w:rsid w:val="44E14531"/>
    <w:rsid w:val="44E71E1A"/>
    <w:rsid w:val="45161A51"/>
    <w:rsid w:val="456D5F9A"/>
    <w:rsid w:val="45961445"/>
    <w:rsid w:val="45CF2E79"/>
    <w:rsid w:val="46154710"/>
    <w:rsid w:val="46441DEA"/>
    <w:rsid w:val="46A169F1"/>
    <w:rsid w:val="46F72B3C"/>
    <w:rsid w:val="4726328F"/>
    <w:rsid w:val="47993DFA"/>
    <w:rsid w:val="47FB5D4F"/>
    <w:rsid w:val="48204D59"/>
    <w:rsid w:val="491312CF"/>
    <w:rsid w:val="49503779"/>
    <w:rsid w:val="49BC066F"/>
    <w:rsid w:val="49DC65BB"/>
    <w:rsid w:val="4AA27757"/>
    <w:rsid w:val="4B5B46F5"/>
    <w:rsid w:val="4B9177DA"/>
    <w:rsid w:val="4BC43FB3"/>
    <w:rsid w:val="4C101847"/>
    <w:rsid w:val="4C2E3023"/>
    <w:rsid w:val="4C5479B0"/>
    <w:rsid w:val="4CF04F67"/>
    <w:rsid w:val="4D225FBE"/>
    <w:rsid w:val="4D463C5A"/>
    <w:rsid w:val="4E222E8F"/>
    <w:rsid w:val="4E4E1A62"/>
    <w:rsid w:val="4E7863DD"/>
    <w:rsid w:val="4ED45702"/>
    <w:rsid w:val="4F55311F"/>
    <w:rsid w:val="4F824AB9"/>
    <w:rsid w:val="4FB7572D"/>
    <w:rsid w:val="4FC80A03"/>
    <w:rsid w:val="50302767"/>
    <w:rsid w:val="5135078D"/>
    <w:rsid w:val="51577D3D"/>
    <w:rsid w:val="52556C80"/>
    <w:rsid w:val="52C5363A"/>
    <w:rsid w:val="52E642A5"/>
    <w:rsid w:val="533C1422"/>
    <w:rsid w:val="536D12FB"/>
    <w:rsid w:val="537E18F8"/>
    <w:rsid w:val="53894668"/>
    <w:rsid w:val="53D918C5"/>
    <w:rsid w:val="545C7835"/>
    <w:rsid w:val="557430F6"/>
    <w:rsid w:val="559E4396"/>
    <w:rsid w:val="568D0913"/>
    <w:rsid w:val="569058B2"/>
    <w:rsid w:val="572A7DC0"/>
    <w:rsid w:val="57310FDC"/>
    <w:rsid w:val="573F19D1"/>
    <w:rsid w:val="57F835F2"/>
    <w:rsid w:val="583E33AA"/>
    <w:rsid w:val="588E251D"/>
    <w:rsid w:val="590E5642"/>
    <w:rsid w:val="595D3DAB"/>
    <w:rsid w:val="598900F2"/>
    <w:rsid w:val="59A54C91"/>
    <w:rsid w:val="5A055DFC"/>
    <w:rsid w:val="5A254C74"/>
    <w:rsid w:val="5A430645"/>
    <w:rsid w:val="5A5F25C6"/>
    <w:rsid w:val="5ABD553F"/>
    <w:rsid w:val="5B123B7C"/>
    <w:rsid w:val="5BE96A70"/>
    <w:rsid w:val="5C2840E2"/>
    <w:rsid w:val="5CE40A5C"/>
    <w:rsid w:val="5CF747AC"/>
    <w:rsid w:val="5D0C1038"/>
    <w:rsid w:val="5D183E05"/>
    <w:rsid w:val="5D8A5BAC"/>
    <w:rsid w:val="5D8E05F5"/>
    <w:rsid w:val="5DC858FF"/>
    <w:rsid w:val="5E457FFC"/>
    <w:rsid w:val="5E487738"/>
    <w:rsid w:val="5E991F56"/>
    <w:rsid w:val="5EA762EA"/>
    <w:rsid w:val="5F2B0CC9"/>
    <w:rsid w:val="5F3C4EC7"/>
    <w:rsid w:val="603D33A1"/>
    <w:rsid w:val="6088401C"/>
    <w:rsid w:val="60921E4B"/>
    <w:rsid w:val="60923B0B"/>
    <w:rsid w:val="60A222B1"/>
    <w:rsid w:val="60AB1573"/>
    <w:rsid w:val="6122434D"/>
    <w:rsid w:val="61404326"/>
    <w:rsid w:val="61BF7ED9"/>
    <w:rsid w:val="61CF0031"/>
    <w:rsid w:val="629D11FF"/>
    <w:rsid w:val="62D33B51"/>
    <w:rsid w:val="63696264"/>
    <w:rsid w:val="63824EE7"/>
    <w:rsid w:val="639A3FD8"/>
    <w:rsid w:val="63A062DE"/>
    <w:rsid w:val="64E810E5"/>
    <w:rsid w:val="65090E3B"/>
    <w:rsid w:val="65557C89"/>
    <w:rsid w:val="65824295"/>
    <w:rsid w:val="65943C08"/>
    <w:rsid w:val="65B81718"/>
    <w:rsid w:val="65F03D04"/>
    <w:rsid w:val="65F251CE"/>
    <w:rsid w:val="66104032"/>
    <w:rsid w:val="66361D5E"/>
    <w:rsid w:val="66656F8C"/>
    <w:rsid w:val="66F760E2"/>
    <w:rsid w:val="67140294"/>
    <w:rsid w:val="674445BE"/>
    <w:rsid w:val="677A52BA"/>
    <w:rsid w:val="68466B73"/>
    <w:rsid w:val="68BB4DBB"/>
    <w:rsid w:val="69777C99"/>
    <w:rsid w:val="698A2068"/>
    <w:rsid w:val="69ED49C8"/>
    <w:rsid w:val="6A2D47F2"/>
    <w:rsid w:val="6A3550F2"/>
    <w:rsid w:val="6A415844"/>
    <w:rsid w:val="6A5437CA"/>
    <w:rsid w:val="6B086744"/>
    <w:rsid w:val="6B240C48"/>
    <w:rsid w:val="6C3F2681"/>
    <w:rsid w:val="6C5A3209"/>
    <w:rsid w:val="6CB93DB8"/>
    <w:rsid w:val="6D565335"/>
    <w:rsid w:val="6DCE7DBA"/>
    <w:rsid w:val="6DF94377"/>
    <w:rsid w:val="6E1F7F9E"/>
    <w:rsid w:val="6E2039C3"/>
    <w:rsid w:val="6E2457A7"/>
    <w:rsid w:val="6EAE2648"/>
    <w:rsid w:val="6F0C4C9A"/>
    <w:rsid w:val="6FE729EA"/>
    <w:rsid w:val="6FFD15BA"/>
    <w:rsid w:val="6FFD69A8"/>
    <w:rsid w:val="7043156F"/>
    <w:rsid w:val="70652415"/>
    <w:rsid w:val="70874F5B"/>
    <w:rsid w:val="70A70EF4"/>
    <w:rsid w:val="71106BD1"/>
    <w:rsid w:val="71382D8E"/>
    <w:rsid w:val="715324BD"/>
    <w:rsid w:val="721248DD"/>
    <w:rsid w:val="726075BC"/>
    <w:rsid w:val="72A0282A"/>
    <w:rsid w:val="72A677BB"/>
    <w:rsid w:val="72A75513"/>
    <w:rsid w:val="72CB387F"/>
    <w:rsid w:val="738559A1"/>
    <w:rsid w:val="73F73CC9"/>
    <w:rsid w:val="744A361A"/>
    <w:rsid w:val="74933DF5"/>
    <w:rsid w:val="74DA2B1D"/>
    <w:rsid w:val="755A0DE3"/>
    <w:rsid w:val="7565053D"/>
    <w:rsid w:val="756566DA"/>
    <w:rsid w:val="757968AB"/>
    <w:rsid w:val="75D25A7C"/>
    <w:rsid w:val="75E530C5"/>
    <w:rsid w:val="75EB5E80"/>
    <w:rsid w:val="76165DD7"/>
    <w:rsid w:val="768D4980"/>
    <w:rsid w:val="76A4045C"/>
    <w:rsid w:val="76CF383A"/>
    <w:rsid w:val="77086C14"/>
    <w:rsid w:val="771F2E86"/>
    <w:rsid w:val="7750356B"/>
    <w:rsid w:val="77685980"/>
    <w:rsid w:val="77876861"/>
    <w:rsid w:val="77CB2BF1"/>
    <w:rsid w:val="77E764E5"/>
    <w:rsid w:val="78880AE2"/>
    <w:rsid w:val="79352EE7"/>
    <w:rsid w:val="798E43CC"/>
    <w:rsid w:val="79BA74B5"/>
    <w:rsid w:val="7A724339"/>
    <w:rsid w:val="7A77226B"/>
    <w:rsid w:val="7AA2659F"/>
    <w:rsid w:val="7AAE0972"/>
    <w:rsid w:val="7AD650E6"/>
    <w:rsid w:val="7B46494A"/>
    <w:rsid w:val="7B474C85"/>
    <w:rsid w:val="7B8B2E30"/>
    <w:rsid w:val="7BAE2FBD"/>
    <w:rsid w:val="7C7B7E94"/>
    <w:rsid w:val="7C7C71B9"/>
    <w:rsid w:val="7C9B372A"/>
    <w:rsid w:val="7D0A7D18"/>
    <w:rsid w:val="7D54596F"/>
    <w:rsid w:val="7DAC0DCF"/>
    <w:rsid w:val="7E4C4C35"/>
    <w:rsid w:val="7E911CE5"/>
    <w:rsid w:val="7EEB2D37"/>
    <w:rsid w:val="7F550654"/>
    <w:rsid w:val="7F5A55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宋体"/>
      <w:kern w:val="2"/>
      <w:sz w:val="28"/>
      <w:szCs w:val="28"/>
      <w:lang w:val="en-US" w:eastAsia="zh-CN" w:bidi="ar-SA"/>
    </w:rPr>
  </w:style>
  <w:style w:type="paragraph" w:styleId="3">
    <w:name w:val="heading 1"/>
    <w:basedOn w:val="1"/>
    <w:next w:val="1"/>
    <w:link w:val="63"/>
    <w:qFormat/>
    <w:uiPriority w:val="0"/>
    <w:pPr>
      <w:keepNext/>
      <w:keepLines/>
      <w:spacing w:line="360" w:lineRule="auto"/>
      <w:jc w:val="center"/>
      <w:outlineLvl w:val="0"/>
    </w:pPr>
    <w:rPr>
      <w:rFonts w:cs="Times New Roman"/>
      <w:b/>
      <w:bCs/>
      <w:kern w:val="44"/>
      <w:sz w:val="44"/>
      <w:szCs w:val="44"/>
    </w:rPr>
  </w:style>
  <w:style w:type="paragraph" w:styleId="4">
    <w:name w:val="heading 2"/>
    <w:basedOn w:val="3"/>
    <w:next w:val="1"/>
    <w:link w:val="78"/>
    <w:qFormat/>
    <w:uiPriority w:val="9"/>
    <w:pPr>
      <w:widowControl/>
      <w:jc w:val="left"/>
      <w:outlineLvl w:val="1"/>
    </w:pPr>
    <w:rPr>
      <w:kern w:val="0"/>
      <w:sz w:val="36"/>
      <w:szCs w:val="36"/>
    </w:rPr>
  </w:style>
  <w:style w:type="paragraph" w:styleId="5">
    <w:name w:val="heading 3"/>
    <w:basedOn w:val="1"/>
    <w:next w:val="1"/>
    <w:link w:val="104"/>
    <w:qFormat/>
    <w:uiPriority w:val="9"/>
    <w:pPr>
      <w:keepNext/>
      <w:keepLines/>
      <w:spacing w:line="416" w:lineRule="auto"/>
      <w:jc w:val="left"/>
      <w:outlineLvl w:val="2"/>
    </w:pPr>
    <w:rPr>
      <w:rFonts w:ascii="Times New Roman" w:eastAsia="黑体" w:cs="Times New Roman"/>
      <w:sz w:val="32"/>
      <w:szCs w:val="32"/>
    </w:rPr>
  </w:style>
  <w:style w:type="paragraph" w:styleId="6">
    <w:name w:val="heading 4"/>
    <w:basedOn w:val="1"/>
    <w:next w:val="1"/>
    <w:link w:val="58"/>
    <w:qFormat/>
    <w:uiPriority w:val="0"/>
    <w:pPr>
      <w:keepNext/>
      <w:keepLines/>
      <w:spacing w:before="280" w:after="290" w:line="376" w:lineRule="auto"/>
      <w:outlineLvl w:val="3"/>
    </w:pPr>
    <w:rPr>
      <w:rFonts w:ascii="Calibri Light" w:hAnsi="Calibri Light" w:cs="Times New Roman"/>
      <w:b/>
      <w:bCs/>
    </w:rPr>
  </w:style>
  <w:style w:type="paragraph" w:styleId="7">
    <w:name w:val="heading 5"/>
    <w:basedOn w:val="1"/>
    <w:next w:val="1"/>
    <w:link w:val="52"/>
    <w:qFormat/>
    <w:uiPriority w:val="0"/>
    <w:pPr>
      <w:keepNext/>
      <w:keepLines/>
      <w:tabs>
        <w:tab w:val="left" w:pos="0"/>
      </w:tabs>
      <w:spacing w:before="280" w:after="290" w:line="376" w:lineRule="auto"/>
      <w:outlineLvl w:val="4"/>
    </w:pPr>
    <w:rPr>
      <w:rFonts w:ascii="Times New Roman" w:cs="Times New Roman"/>
      <w:b/>
      <w:szCs w:val="20"/>
    </w:rPr>
  </w:style>
  <w:style w:type="paragraph" w:styleId="8">
    <w:name w:val="heading 6"/>
    <w:basedOn w:val="1"/>
    <w:next w:val="1"/>
    <w:link w:val="61"/>
    <w:qFormat/>
    <w:uiPriority w:val="0"/>
    <w:pPr>
      <w:keepNext/>
      <w:keepLines/>
      <w:tabs>
        <w:tab w:val="left" w:pos="0"/>
      </w:tabs>
      <w:spacing w:before="240" w:after="64" w:line="319" w:lineRule="auto"/>
      <w:outlineLvl w:val="5"/>
    </w:pPr>
    <w:rPr>
      <w:rFonts w:ascii="Arial" w:hAnsi="Arial" w:eastAsia="黑体" w:cs="Times New Roman"/>
      <w:b/>
      <w:sz w:val="24"/>
      <w:szCs w:val="20"/>
    </w:rPr>
  </w:style>
  <w:style w:type="paragraph" w:styleId="9">
    <w:name w:val="heading 7"/>
    <w:basedOn w:val="1"/>
    <w:next w:val="1"/>
    <w:link w:val="48"/>
    <w:qFormat/>
    <w:uiPriority w:val="0"/>
    <w:pPr>
      <w:keepNext/>
      <w:keepLines/>
      <w:tabs>
        <w:tab w:val="left" w:pos="0"/>
      </w:tabs>
      <w:spacing w:before="240" w:after="64" w:line="319" w:lineRule="auto"/>
      <w:outlineLvl w:val="6"/>
    </w:pPr>
    <w:rPr>
      <w:rFonts w:ascii="Times New Roman" w:cs="Times New Roman"/>
      <w:b/>
      <w:sz w:val="24"/>
      <w:szCs w:val="20"/>
    </w:rPr>
  </w:style>
  <w:style w:type="paragraph" w:styleId="10">
    <w:name w:val="heading 8"/>
    <w:basedOn w:val="1"/>
    <w:next w:val="1"/>
    <w:link w:val="90"/>
    <w:qFormat/>
    <w:uiPriority w:val="0"/>
    <w:pPr>
      <w:keepNext/>
      <w:keepLines/>
      <w:tabs>
        <w:tab w:val="left" w:pos="0"/>
      </w:tabs>
      <w:spacing w:before="240" w:after="64" w:line="319" w:lineRule="auto"/>
      <w:outlineLvl w:val="7"/>
    </w:pPr>
    <w:rPr>
      <w:rFonts w:ascii="Arial" w:hAnsi="Arial" w:eastAsia="黑体" w:cs="Times New Roman"/>
      <w:sz w:val="24"/>
      <w:szCs w:val="20"/>
    </w:rPr>
  </w:style>
  <w:style w:type="paragraph" w:styleId="11">
    <w:name w:val="heading 9"/>
    <w:basedOn w:val="1"/>
    <w:next w:val="1"/>
    <w:link w:val="100"/>
    <w:qFormat/>
    <w:uiPriority w:val="0"/>
    <w:pPr>
      <w:keepNext/>
      <w:keepLines/>
      <w:tabs>
        <w:tab w:val="left" w:pos="0"/>
      </w:tabs>
      <w:spacing w:before="240" w:after="64" w:line="319" w:lineRule="auto"/>
      <w:outlineLvl w:val="8"/>
    </w:pPr>
    <w:rPr>
      <w:rFonts w:ascii="Arial" w:hAnsi="Arial" w:eastAsia="黑体" w:cs="Times New Roman"/>
      <w:sz w:val="21"/>
      <w:szCs w:val="20"/>
    </w:rPr>
  </w:style>
  <w:style w:type="character" w:default="1" w:styleId="38">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12">
    <w:name w:val="List 3"/>
    <w:basedOn w:val="1"/>
    <w:qFormat/>
    <w:uiPriority w:val="0"/>
    <w:pPr>
      <w:ind w:left="100" w:leftChars="400" w:hanging="200" w:hangingChars="200"/>
    </w:pPr>
    <w:rPr>
      <w:rFonts w:ascii="Times New Roman" w:cs="Times New Roman"/>
      <w:sz w:val="21"/>
      <w:szCs w:val="21"/>
    </w:rPr>
  </w:style>
  <w:style w:type="paragraph" w:styleId="13">
    <w:name w:val="Normal Indent"/>
    <w:basedOn w:val="1"/>
    <w:qFormat/>
    <w:uiPriority w:val="0"/>
    <w:pPr>
      <w:ind w:firstLine="420"/>
    </w:pPr>
    <w:rPr>
      <w:rFonts w:ascii="Times New Roman" w:cs="Times New Roman"/>
      <w:sz w:val="21"/>
      <w:szCs w:val="21"/>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86"/>
    <w:semiHidden/>
    <w:qFormat/>
    <w:uiPriority w:val="0"/>
    <w:pPr>
      <w:shd w:val="clear" w:color="auto" w:fill="000080"/>
    </w:pPr>
    <w:rPr>
      <w:rFonts w:ascii="Calibri" w:hAnsi="Calibri" w:cs="Times New Roman"/>
      <w:sz w:val="21"/>
      <w:szCs w:val="22"/>
    </w:rPr>
  </w:style>
  <w:style w:type="paragraph" w:styleId="16">
    <w:name w:val="annotation text"/>
    <w:basedOn w:val="1"/>
    <w:link w:val="89"/>
    <w:qFormat/>
    <w:uiPriority w:val="99"/>
    <w:pPr>
      <w:jc w:val="left"/>
    </w:pPr>
    <w:rPr>
      <w:rFonts w:cs="Times New Roman"/>
      <w:sz w:val="24"/>
      <w:szCs w:val="24"/>
    </w:rPr>
  </w:style>
  <w:style w:type="paragraph" w:styleId="17">
    <w:name w:val="Body Text"/>
    <w:basedOn w:val="1"/>
    <w:next w:val="1"/>
    <w:link w:val="56"/>
    <w:qFormat/>
    <w:uiPriority w:val="0"/>
    <w:rPr>
      <w:rFonts w:cs="Times New Roman"/>
      <w:sz w:val="32"/>
      <w:szCs w:val="32"/>
    </w:rPr>
  </w:style>
  <w:style w:type="paragraph" w:styleId="18">
    <w:name w:val="Body Text Indent"/>
    <w:basedOn w:val="1"/>
    <w:link w:val="55"/>
    <w:qFormat/>
    <w:uiPriority w:val="0"/>
    <w:pPr>
      <w:spacing w:line="480" w:lineRule="exact"/>
      <w:ind w:firstLine="538" w:firstLineChars="192"/>
      <w:jc w:val="left"/>
    </w:pPr>
    <w:rPr>
      <w:rFonts w:cs="Times New Roman"/>
      <w:sz w:val="24"/>
      <w:szCs w:val="24"/>
    </w:rPr>
  </w:style>
  <w:style w:type="paragraph" w:styleId="19">
    <w:name w:val="List 2"/>
    <w:basedOn w:val="1"/>
    <w:qFormat/>
    <w:uiPriority w:val="0"/>
    <w:pPr>
      <w:ind w:left="100" w:leftChars="200" w:hanging="200" w:hangingChars="200"/>
    </w:pPr>
    <w:rPr>
      <w:rFonts w:ascii="Times New Roman" w:cs="Times New Roman"/>
      <w:sz w:val="21"/>
      <w:szCs w:val="21"/>
    </w:rPr>
  </w:style>
  <w:style w:type="paragraph" w:styleId="20">
    <w:name w:val="toc 3"/>
    <w:basedOn w:val="1"/>
    <w:next w:val="1"/>
    <w:qFormat/>
    <w:uiPriority w:val="0"/>
    <w:pPr>
      <w:ind w:left="840" w:leftChars="400"/>
    </w:pPr>
  </w:style>
  <w:style w:type="paragraph" w:styleId="21">
    <w:name w:val="Plain Text"/>
    <w:basedOn w:val="1"/>
    <w:link w:val="94"/>
    <w:qFormat/>
    <w:uiPriority w:val="0"/>
    <w:rPr>
      <w:rFonts w:hAnsi="Courier New" w:cs="Times New Roman"/>
      <w:sz w:val="21"/>
      <w:szCs w:val="21"/>
    </w:rPr>
  </w:style>
  <w:style w:type="paragraph" w:styleId="22">
    <w:name w:val="Date"/>
    <w:basedOn w:val="1"/>
    <w:next w:val="1"/>
    <w:link w:val="67"/>
    <w:qFormat/>
    <w:uiPriority w:val="0"/>
    <w:pPr>
      <w:ind w:left="100" w:leftChars="2500"/>
    </w:pPr>
    <w:rPr>
      <w:rFonts w:cs="Times New Roman"/>
      <w:sz w:val="24"/>
      <w:szCs w:val="24"/>
    </w:rPr>
  </w:style>
  <w:style w:type="paragraph" w:styleId="23">
    <w:name w:val="Body Text Indent 2"/>
    <w:basedOn w:val="1"/>
    <w:link w:val="53"/>
    <w:qFormat/>
    <w:uiPriority w:val="0"/>
    <w:pPr>
      <w:spacing w:line="480" w:lineRule="exact"/>
      <w:ind w:firstLine="241" w:firstLineChars="100"/>
      <w:jc w:val="left"/>
    </w:pPr>
    <w:rPr>
      <w:rFonts w:ascii="黑体" w:hAnsi="宋体" w:eastAsia="黑体" w:cs="Times New Roman"/>
      <w:b/>
      <w:bCs/>
      <w:sz w:val="24"/>
      <w:szCs w:val="24"/>
    </w:rPr>
  </w:style>
  <w:style w:type="paragraph" w:styleId="24">
    <w:name w:val="Balloon Text"/>
    <w:basedOn w:val="1"/>
    <w:link w:val="92"/>
    <w:qFormat/>
    <w:uiPriority w:val="99"/>
    <w:rPr>
      <w:rFonts w:cs="Times New Roman"/>
      <w:sz w:val="18"/>
      <w:szCs w:val="18"/>
    </w:rPr>
  </w:style>
  <w:style w:type="paragraph" w:styleId="25">
    <w:name w:val="footer"/>
    <w:basedOn w:val="1"/>
    <w:link w:val="68"/>
    <w:qFormat/>
    <w:uiPriority w:val="99"/>
    <w:pPr>
      <w:tabs>
        <w:tab w:val="center" w:pos="4153"/>
        <w:tab w:val="right" w:pos="8306"/>
      </w:tabs>
      <w:snapToGrid w:val="0"/>
      <w:jc w:val="left"/>
    </w:pPr>
    <w:rPr>
      <w:rFonts w:ascii="Times New Roman" w:cs="Times New Roman"/>
      <w:sz w:val="18"/>
      <w:szCs w:val="18"/>
    </w:rPr>
  </w:style>
  <w:style w:type="paragraph" w:styleId="26">
    <w:name w:val="header"/>
    <w:basedOn w:val="1"/>
    <w:link w:val="95"/>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7">
    <w:name w:val="Subtitle"/>
    <w:basedOn w:val="1"/>
    <w:next w:val="1"/>
    <w:link w:val="93"/>
    <w:qFormat/>
    <w:uiPriority w:val="0"/>
    <w:pPr>
      <w:spacing w:before="240" w:after="60" w:line="312" w:lineRule="auto"/>
      <w:jc w:val="center"/>
      <w:outlineLvl w:val="1"/>
    </w:pPr>
    <w:rPr>
      <w:rFonts w:ascii="Cambria" w:hAnsi="Cambria" w:cs="Times New Roman"/>
      <w:b/>
      <w:kern w:val="28"/>
      <w:sz w:val="32"/>
      <w:szCs w:val="20"/>
    </w:rPr>
  </w:style>
  <w:style w:type="paragraph" w:styleId="28">
    <w:name w:val="List"/>
    <w:basedOn w:val="1"/>
    <w:qFormat/>
    <w:uiPriority w:val="0"/>
    <w:pPr>
      <w:ind w:left="200" w:hanging="200" w:hangingChars="200"/>
    </w:pPr>
    <w:rPr>
      <w:rFonts w:ascii="Times New Roman" w:cs="Times New Roman"/>
      <w:sz w:val="21"/>
      <w:szCs w:val="21"/>
    </w:rPr>
  </w:style>
  <w:style w:type="paragraph" w:styleId="29">
    <w:name w:val="Body Text Indent 3"/>
    <w:basedOn w:val="1"/>
    <w:link w:val="62"/>
    <w:qFormat/>
    <w:uiPriority w:val="0"/>
    <w:pPr>
      <w:spacing w:line="360" w:lineRule="auto"/>
      <w:ind w:firstLine="480" w:firstLineChars="200"/>
    </w:pPr>
    <w:rPr>
      <w:rFonts w:cs="Times New Roman"/>
      <w:sz w:val="24"/>
      <w:szCs w:val="24"/>
    </w:rPr>
  </w:style>
  <w:style w:type="paragraph" w:styleId="30">
    <w:name w:val="toc 2"/>
    <w:basedOn w:val="1"/>
    <w:next w:val="1"/>
    <w:qFormat/>
    <w:uiPriority w:val="39"/>
    <w:pPr>
      <w:ind w:left="420" w:leftChars="200"/>
    </w:pPr>
  </w:style>
  <w:style w:type="paragraph" w:styleId="31">
    <w:name w:val="Body Text 2"/>
    <w:basedOn w:val="1"/>
    <w:link w:val="73"/>
    <w:qFormat/>
    <w:uiPriority w:val="0"/>
    <w:pPr>
      <w:spacing w:after="120" w:line="480" w:lineRule="auto"/>
    </w:pPr>
    <w:rPr>
      <w:rFonts w:cs="Times New Roman"/>
      <w:sz w:val="24"/>
      <w:szCs w:val="24"/>
    </w:rPr>
  </w:style>
  <w:style w:type="paragraph" w:styleId="32">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3">
    <w:name w:val="Title"/>
    <w:basedOn w:val="1"/>
    <w:next w:val="1"/>
    <w:link w:val="51"/>
    <w:qFormat/>
    <w:uiPriority w:val="0"/>
    <w:pPr>
      <w:spacing w:before="240" w:after="60"/>
      <w:jc w:val="left"/>
      <w:outlineLvl w:val="0"/>
    </w:pPr>
    <w:rPr>
      <w:rFonts w:ascii="Cambria" w:hAnsi="Cambria" w:cs="Times New Roman"/>
      <w:b/>
      <w:bCs/>
      <w:sz w:val="32"/>
      <w:szCs w:val="32"/>
    </w:rPr>
  </w:style>
  <w:style w:type="paragraph" w:styleId="34">
    <w:name w:val="annotation subject"/>
    <w:basedOn w:val="16"/>
    <w:next w:val="16"/>
    <w:link w:val="98"/>
    <w:qFormat/>
    <w:uiPriority w:val="99"/>
    <w:rPr>
      <w:b/>
      <w:bCs/>
      <w:sz w:val="28"/>
      <w:szCs w:val="28"/>
    </w:rPr>
  </w:style>
  <w:style w:type="paragraph" w:styleId="35">
    <w:name w:val="Body Text First Indent"/>
    <w:basedOn w:val="17"/>
    <w:link w:val="158"/>
    <w:unhideWhenUsed/>
    <w:qFormat/>
    <w:uiPriority w:val="99"/>
    <w:pPr>
      <w:spacing w:after="120"/>
      <w:ind w:firstLine="420" w:firstLineChars="100"/>
    </w:pPr>
    <w:rPr>
      <w:rFonts w:ascii="Calibri" w:hAnsi="Calibri"/>
      <w:sz w:val="21"/>
      <w:szCs w:val="22"/>
    </w:rPr>
  </w:style>
  <w:style w:type="table" w:styleId="37">
    <w:name w:val="Table Grid"/>
    <w:basedOn w:val="36"/>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qFormat/>
    <w:uiPriority w:val="0"/>
    <w:rPr>
      <w:rFonts w:cs="Times New Roman"/>
    </w:rPr>
  </w:style>
  <w:style w:type="character" w:styleId="41">
    <w:name w:val="FollowedHyperlink"/>
    <w:qFormat/>
    <w:uiPriority w:val="0"/>
    <w:rPr>
      <w:rFonts w:cs="Times New Roman"/>
      <w:color w:val="800080"/>
      <w:u w:val="single"/>
    </w:rPr>
  </w:style>
  <w:style w:type="character" w:styleId="42">
    <w:name w:val="line number"/>
    <w:qFormat/>
    <w:uiPriority w:val="0"/>
    <w:rPr>
      <w:rFonts w:cs="Times New Roman"/>
    </w:rPr>
  </w:style>
  <w:style w:type="character" w:styleId="43">
    <w:name w:val="Hyperlink"/>
    <w:qFormat/>
    <w:uiPriority w:val="99"/>
    <w:rPr>
      <w:rFonts w:cs="Times New Roman"/>
      <w:color w:val="0000FF"/>
      <w:u w:val="single"/>
    </w:rPr>
  </w:style>
  <w:style w:type="character" w:styleId="44">
    <w:name w:val="HTML Code"/>
    <w:basedOn w:val="38"/>
    <w:semiHidden/>
    <w:unhideWhenUsed/>
    <w:qFormat/>
    <w:uiPriority w:val="99"/>
    <w:rPr>
      <w:rFonts w:ascii="Courier New" w:hAnsi="Courier New"/>
      <w:sz w:val="20"/>
    </w:rPr>
  </w:style>
  <w:style w:type="character" w:styleId="45">
    <w:name w:val="annotation reference"/>
    <w:qFormat/>
    <w:uiPriority w:val="99"/>
    <w:rPr>
      <w:rFonts w:cs="Times New Roman"/>
      <w:sz w:val="21"/>
      <w:szCs w:val="21"/>
    </w:rPr>
  </w:style>
  <w:style w:type="character" w:styleId="46">
    <w:name w:val="HTML Keyboard"/>
    <w:basedOn w:val="38"/>
    <w:semiHidden/>
    <w:unhideWhenUsed/>
    <w:qFormat/>
    <w:uiPriority w:val="99"/>
    <w:rPr>
      <w:rFonts w:ascii="Courier New" w:hAnsi="Courier New"/>
      <w:color w:val="CD0200"/>
      <w:sz w:val="20"/>
      <w:u w:val="none"/>
    </w:rPr>
  </w:style>
  <w:style w:type="character" w:styleId="47">
    <w:name w:val="HTML Sample"/>
    <w:basedOn w:val="38"/>
    <w:semiHidden/>
    <w:unhideWhenUsed/>
    <w:qFormat/>
    <w:uiPriority w:val="99"/>
    <w:rPr>
      <w:rFonts w:ascii="Courier New" w:hAnsi="Courier New"/>
    </w:rPr>
  </w:style>
  <w:style w:type="character" w:customStyle="1" w:styleId="48">
    <w:name w:val="标题 7 Char"/>
    <w:link w:val="9"/>
    <w:qFormat/>
    <w:uiPriority w:val="0"/>
    <w:rPr>
      <w:b/>
      <w:kern w:val="2"/>
      <w:sz w:val="24"/>
    </w:rPr>
  </w:style>
  <w:style w:type="character" w:customStyle="1" w:styleId="49">
    <w:name w:val="Body Text Char1"/>
    <w:qFormat/>
    <w:uiPriority w:val="0"/>
    <w:rPr>
      <w:rFonts w:ascii="宋体" w:cs="宋体"/>
      <w:sz w:val="28"/>
      <w:szCs w:val="28"/>
    </w:rPr>
  </w:style>
  <w:style w:type="character" w:customStyle="1" w:styleId="50">
    <w:name w:val="Balloon Text Char1"/>
    <w:qFormat/>
    <w:uiPriority w:val="0"/>
    <w:rPr>
      <w:rFonts w:ascii="宋体" w:cs="宋体"/>
      <w:sz w:val="2"/>
    </w:rPr>
  </w:style>
  <w:style w:type="character" w:customStyle="1" w:styleId="51">
    <w:name w:val="标题 Char"/>
    <w:link w:val="33"/>
    <w:qFormat/>
    <w:uiPriority w:val="0"/>
    <w:rPr>
      <w:rFonts w:ascii="Cambria" w:hAnsi="Cambria" w:cs="Cambria"/>
      <w:b/>
      <w:bCs/>
      <w:kern w:val="2"/>
      <w:sz w:val="32"/>
      <w:szCs w:val="32"/>
    </w:rPr>
  </w:style>
  <w:style w:type="character" w:customStyle="1" w:styleId="52">
    <w:name w:val="标题 5 Char"/>
    <w:link w:val="7"/>
    <w:qFormat/>
    <w:uiPriority w:val="0"/>
    <w:rPr>
      <w:b/>
      <w:kern w:val="2"/>
      <w:sz w:val="28"/>
    </w:rPr>
  </w:style>
  <w:style w:type="character" w:customStyle="1" w:styleId="53">
    <w:name w:val="正文文本缩进 2 Char"/>
    <w:link w:val="23"/>
    <w:qFormat/>
    <w:uiPriority w:val="0"/>
    <w:rPr>
      <w:rFonts w:ascii="黑体" w:hAnsi="宋体" w:eastAsia="黑体" w:cs="黑体"/>
      <w:b/>
      <w:bCs/>
      <w:kern w:val="2"/>
      <w:sz w:val="24"/>
      <w:szCs w:val="24"/>
      <w:lang w:val="en-US" w:eastAsia="zh-CN"/>
    </w:rPr>
  </w:style>
  <w:style w:type="character" w:customStyle="1" w:styleId="54">
    <w:name w:val="font01"/>
    <w:qFormat/>
    <w:uiPriority w:val="0"/>
    <w:rPr>
      <w:rFonts w:hint="eastAsia" w:ascii="宋体" w:hAnsi="宋体" w:eastAsia="宋体" w:cs="宋体"/>
      <w:color w:val="000000"/>
      <w:sz w:val="24"/>
      <w:szCs w:val="24"/>
    </w:rPr>
  </w:style>
  <w:style w:type="character" w:customStyle="1" w:styleId="55">
    <w:name w:val="正文文本缩进 Char"/>
    <w:link w:val="18"/>
    <w:qFormat/>
    <w:uiPriority w:val="0"/>
    <w:rPr>
      <w:rFonts w:ascii="宋体" w:cs="宋体"/>
      <w:kern w:val="2"/>
      <w:sz w:val="24"/>
      <w:szCs w:val="24"/>
    </w:rPr>
  </w:style>
  <w:style w:type="character" w:customStyle="1" w:styleId="56">
    <w:name w:val="正文文本 Char"/>
    <w:link w:val="17"/>
    <w:qFormat/>
    <w:uiPriority w:val="0"/>
    <w:rPr>
      <w:rFonts w:ascii="宋体" w:eastAsia="宋体" w:cs="宋体"/>
      <w:kern w:val="2"/>
      <w:sz w:val="32"/>
      <w:szCs w:val="32"/>
    </w:rPr>
  </w:style>
  <w:style w:type="character" w:customStyle="1" w:styleId="57">
    <w:name w:val="页脚 Char1"/>
    <w:qFormat/>
    <w:locked/>
    <w:uiPriority w:val="0"/>
    <w:rPr>
      <w:rFonts w:eastAsia="黑体"/>
      <w:snapToGrid/>
      <w:sz w:val="18"/>
      <w:szCs w:val="18"/>
    </w:rPr>
  </w:style>
  <w:style w:type="character" w:customStyle="1" w:styleId="58">
    <w:name w:val="标题 4 Char"/>
    <w:link w:val="6"/>
    <w:qFormat/>
    <w:uiPriority w:val="0"/>
    <w:rPr>
      <w:rFonts w:ascii="Calibri Light" w:hAnsi="Calibri Light" w:eastAsia="宋体" w:cs="Times New Roman"/>
      <w:b/>
      <w:bCs/>
      <w:kern w:val="2"/>
      <w:sz w:val="28"/>
      <w:szCs w:val="28"/>
    </w:rPr>
  </w:style>
  <w:style w:type="character" w:customStyle="1" w:styleId="59">
    <w:name w:val="Body Text Indent Char1"/>
    <w:qFormat/>
    <w:uiPriority w:val="0"/>
    <w:rPr>
      <w:rFonts w:ascii="宋体" w:cs="宋体"/>
      <w:sz w:val="28"/>
      <w:szCs w:val="28"/>
    </w:rPr>
  </w:style>
  <w:style w:type="character" w:customStyle="1" w:styleId="60">
    <w:name w:val="Header Char"/>
    <w:qFormat/>
    <w:uiPriority w:val="0"/>
    <w:rPr>
      <w:rFonts w:cs="Times New Roman"/>
      <w:kern w:val="2"/>
      <w:sz w:val="18"/>
      <w:szCs w:val="18"/>
    </w:rPr>
  </w:style>
  <w:style w:type="character" w:customStyle="1" w:styleId="61">
    <w:name w:val="标题 6 Char"/>
    <w:link w:val="8"/>
    <w:qFormat/>
    <w:uiPriority w:val="0"/>
    <w:rPr>
      <w:rFonts w:ascii="Arial" w:hAnsi="Arial" w:eastAsia="黑体" w:cs="Arial"/>
      <w:b/>
      <w:kern w:val="2"/>
      <w:sz w:val="24"/>
    </w:rPr>
  </w:style>
  <w:style w:type="character" w:customStyle="1" w:styleId="62">
    <w:name w:val="正文文本缩进 3 Char"/>
    <w:link w:val="29"/>
    <w:qFormat/>
    <w:uiPriority w:val="0"/>
    <w:rPr>
      <w:rFonts w:ascii="宋体" w:eastAsia="宋体" w:cs="宋体"/>
      <w:kern w:val="2"/>
      <w:sz w:val="24"/>
      <w:szCs w:val="24"/>
    </w:rPr>
  </w:style>
  <w:style w:type="character" w:customStyle="1" w:styleId="63">
    <w:name w:val="标题 1 Char"/>
    <w:link w:val="3"/>
    <w:qFormat/>
    <w:uiPriority w:val="0"/>
    <w:rPr>
      <w:rFonts w:ascii="宋体" w:cs="宋体"/>
      <w:b/>
      <w:bCs/>
      <w:kern w:val="44"/>
      <w:sz w:val="44"/>
      <w:szCs w:val="44"/>
    </w:rPr>
  </w:style>
  <w:style w:type="character" w:customStyle="1" w:styleId="64">
    <w:name w:val="style19"/>
    <w:qFormat/>
    <w:uiPriority w:val="0"/>
    <w:rPr>
      <w:rFonts w:ascii="Verdana" w:hAnsi="Verdana" w:eastAsia="仿宋_GB2312"/>
      <w:kern w:val="0"/>
      <w:sz w:val="24"/>
      <w:szCs w:val="20"/>
      <w:lang w:eastAsia="en-US"/>
    </w:rPr>
  </w:style>
  <w:style w:type="character" w:customStyle="1" w:styleId="65">
    <w:name w:val="Body Text Indent 3 Char1"/>
    <w:qFormat/>
    <w:uiPriority w:val="0"/>
    <w:rPr>
      <w:rFonts w:ascii="宋体" w:cs="宋体"/>
      <w:sz w:val="16"/>
      <w:szCs w:val="16"/>
    </w:rPr>
  </w:style>
  <w:style w:type="character" w:customStyle="1" w:styleId="66">
    <w:name w:val="Date Char1"/>
    <w:qFormat/>
    <w:uiPriority w:val="0"/>
    <w:rPr>
      <w:rFonts w:ascii="宋体" w:cs="宋体"/>
      <w:sz w:val="28"/>
      <w:szCs w:val="28"/>
    </w:rPr>
  </w:style>
  <w:style w:type="character" w:customStyle="1" w:styleId="67">
    <w:name w:val="日期 Char"/>
    <w:link w:val="22"/>
    <w:qFormat/>
    <w:uiPriority w:val="0"/>
    <w:rPr>
      <w:rFonts w:ascii="宋体" w:cs="宋体"/>
      <w:kern w:val="2"/>
      <w:sz w:val="24"/>
      <w:szCs w:val="24"/>
    </w:rPr>
  </w:style>
  <w:style w:type="character" w:customStyle="1" w:styleId="68">
    <w:name w:val="页脚 Char"/>
    <w:link w:val="25"/>
    <w:qFormat/>
    <w:uiPriority w:val="99"/>
    <w:rPr>
      <w:rFonts w:cs="Times New Roman"/>
      <w:kern w:val="2"/>
      <w:sz w:val="18"/>
      <w:szCs w:val="18"/>
    </w:rPr>
  </w:style>
  <w:style w:type="character" w:customStyle="1" w:styleId="69">
    <w:name w:val="Footer Char1"/>
    <w:qFormat/>
    <w:uiPriority w:val="0"/>
    <w:rPr>
      <w:rFonts w:ascii="宋体" w:cs="宋体"/>
      <w:sz w:val="18"/>
      <w:szCs w:val="18"/>
    </w:rPr>
  </w:style>
  <w:style w:type="character" w:customStyle="1" w:styleId="70">
    <w:name w:val="font11"/>
    <w:qFormat/>
    <w:uiPriority w:val="0"/>
    <w:rPr>
      <w:rFonts w:hint="eastAsia" w:ascii="微软雅黑" w:hAnsi="微软雅黑" w:eastAsia="微软雅黑" w:cs="微软雅黑"/>
      <w:b/>
      <w:color w:val="000000"/>
      <w:sz w:val="20"/>
      <w:szCs w:val="20"/>
      <w:u w:val="none"/>
    </w:rPr>
  </w:style>
  <w:style w:type="character" w:customStyle="1" w:styleId="71">
    <w:name w:val="GP正文(首行缩进) Char Char"/>
    <w:link w:val="72"/>
    <w:qFormat/>
    <w:uiPriority w:val="0"/>
    <w:rPr>
      <w:szCs w:val="21"/>
    </w:rPr>
  </w:style>
  <w:style w:type="paragraph" w:customStyle="1" w:styleId="72">
    <w:name w:val="GP正文(首行缩进)"/>
    <w:basedOn w:val="1"/>
    <w:link w:val="71"/>
    <w:qFormat/>
    <w:uiPriority w:val="0"/>
    <w:pPr>
      <w:spacing w:line="360" w:lineRule="auto"/>
      <w:jc w:val="left"/>
    </w:pPr>
    <w:rPr>
      <w:rFonts w:ascii="Times New Roman" w:cs="Times New Roman"/>
      <w:kern w:val="0"/>
      <w:sz w:val="20"/>
      <w:szCs w:val="21"/>
    </w:rPr>
  </w:style>
  <w:style w:type="character" w:customStyle="1" w:styleId="73">
    <w:name w:val="正文文本 2 Char"/>
    <w:link w:val="31"/>
    <w:qFormat/>
    <w:uiPriority w:val="0"/>
    <w:rPr>
      <w:rFonts w:ascii="宋体" w:cs="宋体"/>
      <w:kern w:val="2"/>
      <w:sz w:val="24"/>
      <w:szCs w:val="24"/>
    </w:rPr>
  </w:style>
  <w:style w:type="character" w:customStyle="1" w:styleId="74">
    <w:name w:val="font81"/>
    <w:qFormat/>
    <w:uiPriority w:val="0"/>
    <w:rPr>
      <w:rFonts w:ascii="Calibri" w:hAnsi="Calibri" w:cs="Calibri"/>
      <w:color w:val="000000"/>
      <w:sz w:val="24"/>
      <w:szCs w:val="24"/>
    </w:rPr>
  </w:style>
  <w:style w:type="character" w:customStyle="1" w:styleId="75">
    <w:name w:val="Plain Text Char1"/>
    <w:qFormat/>
    <w:uiPriority w:val="0"/>
    <w:rPr>
      <w:rFonts w:ascii="宋体" w:hAnsi="Courier New" w:cs="Courier New"/>
      <w:sz w:val="21"/>
      <w:szCs w:val="21"/>
    </w:rPr>
  </w:style>
  <w:style w:type="character" w:customStyle="1" w:styleId="76">
    <w:name w:val="style21"/>
    <w:basedOn w:val="38"/>
    <w:qFormat/>
    <w:uiPriority w:val="0"/>
  </w:style>
  <w:style w:type="character" w:customStyle="1" w:styleId="77">
    <w:name w:val="Body Text 2 Char1"/>
    <w:qFormat/>
    <w:uiPriority w:val="0"/>
    <w:rPr>
      <w:rFonts w:ascii="宋体" w:cs="宋体"/>
      <w:sz w:val="28"/>
      <w:szCs w:val="28"/>
    </w:rPr>
  </w:style>
  <w:style w:type="character" w:customStyle="1" w:styleId="78">
    <w:name w:val="标题 2 Char"/>
    <w:link w:val="4"/>
    <w:qFormat/>
    <w:uiPriority w:val="9"/>
    <w:rPr>
      <w:rFonts w:ascii="宋体" w:eastAsia="宋体" w:cs="宋体"/>
      <w:b/>
      <w:bCs/>
      <w:sz w:val="36"/>
      <w:szCs w:val="36"/>
    </w:rPr>
  </w:style>
  <w:style w:type="character" w:customStyle="1" w:styleId="79">
    <w:name w:val="Title Char1"/>
    <w:qFormat/>
    <w:uiPriority w:val="0"/>
    <w:rPr>
      <w:rFonts w:ascii="Cambria" w:hAnsi="Cambria" w:cs="Times New Roman"/>
      <w:b/>
      <w:bCs/>
      <w:sz w:val="32"/>
      <w:szCs w:val="32"/>
    </w:rPr>
  </w:style>
  <w:style w:type="character" w:customStyle="1" w:styleId="80">
    <w:name w:val="unnamed11"/>
    <w:qFormat/>
    <w:uiPriority w:val="0"/>
    <w:rPr>
      <w:rFonts w:cs="Times New Roman"/>
      <w:spacing w:val="340"/>
      <w:sz w:val="18"/>
      <w:szCs w:val="18"/>
    </w:rPr>
  </w:style>
  <w:style w:type="character" w:customStyle="1" w:styleId="81">
    <w:name w:val="font21"/>
    <w:qFormat/>
    <w:uiPriority w:val="0"/>
    <w:rPr>
      <w:rFonts w:hint="eastAsia" w:ascii="微软雅黑" w:hAnsi="微软雅黑" w:eastAsia="微软雅黑" w:cs="微软雅黑"/>
      <w:color w:val="000000"/>
      <w:sz w:val="20"/>
      <w:szCs w:val="20"/>
      <w:u w:val="none"/>
    </w:rPr>
  </w:style>
  <w:style w:type="character" w:customStyle="1" w:styleId="82">
    <w:name w:val="Body Text Indent 2 Char1"/>
    <w:qFormat/>
    <w:uiPriority w:val="0"/>
    <w:rPr>
      <w:rFonts w:ascii="宋体" w:cs="宋体"/>
      <w:sz w:val="28"/>
      <w:szCs w:val="28"/>
    </w:rPr>
  </w:style>
  <w:style w:type="character" w:customStyle="1" w:styleId="83">
    <w:name w:val="列出段落 Char1"/>
    <w:link w:val="84"/>
    <w:qFormat/>
    <w:locked/>
    <w:uiPriority w:val="0"/>
    <w:rPr>
      <w:kern w:val="2"/>
      <w:sz w:val="21"/>
      <w:szCs w:val="21"/>
    </w:rPr>
  </w:style>
  <w:style w:type="paragraph" w:styleId="84">
    <w:name w:val="List Paragraph"/>
    <w:basedOn w:val="1"/>
    <w:link w:val="83"/>
    <w:qFormat/>
    <w:uiPriority w:val="34"/>
    <w:pPr>
      <w:ind w:firstLine="420" w:firstLineChars="200"/>
    </w:pPr>
    <w:rPr>
      <w:rFonts w:ascii="Times New Roman" w:cs="Times New Roman"/>
      <w:sz w:val="21"/>
      <w:szCs w:val="21"/>
    </w:rPr>
  </w:style>
  <w:style w:type="character" w:customStyle="1" w:styleId="85">
    <w:name w:val="tcnt2"/>
    <w:basedOn w:val="38"/>
    <w:qFormat/>
    <w:uiPriority w:val="0"/>
  </w:style>
  <w:style w:type="character" w:customStyle="1" w:styleId="86">
    <w:name w:val="文档结构图 Char"/>
    <w:link w:val="15"/>
    <w:semiHidden/>
    <w:qFormat/>
    <w:uiPriority w:val="0"/>
    <w:rPr>
      <w:rFonts w:ascii="Calibri" w:hAnsi="Calibri"/>
      <w:kern w:val="2"/>
      <w:sz w:val="21"/>
      <w:szCs w:val="22"/>
      <w:shd w:val="clear" w:color="auto" w:fill="000080"/>
    </w:rPr>
  </w:style>
  <w:style w:type="character" w:customStyle="1" w:styleId="87">
    <w:name w:val="无间隔 Char"/>
    <w:link w:val="88"/>
    <w:qFormat/>
    <w:uiPriority w:val="1"/>
    <w:rPr>
      <w:kern w:val="2"/>
      <w:sz w:val="21"/>
      <w:szCs w:val="22"/>
      <w:lang w:val="en-US" w:eastAsia="zh-CN" w:bidi="ar-SA"/>
    </w:rPr>
  </w:style>
  <w:style w:type="paragraph" w:customStyle="1" w:styleId="88">
    <w:name w:val="无间隔1"/>
    <w:link w:val="87"/>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89">
    <w:name w:val="批注文字 Char"/>
    <w:link w:val="16"/>
    <w:qFormat/>
    <w:uiPriority w:val="99"/>
    <w:rPr>
      <w:rFonts w:ascii="宋体" w:cs="宋体"/>
      <w:kern w:val="2"/>
      <w:sz w:val="24"/>
      <w:szCs w:val="24"/>
    </w:rPr>
  </w:style>
  <w:style w:type="character" w:customStyle="1" w:styleId="90">
    <w:name w:val="标题 8 Char"/>
    <w:link w:val="10"/>
    <w:qFormat/>
    <w:uiPriority w:val="0"/>
    <w:rPr>
      <w:rFonts w:ascii="Arial" w:hAnsi="Arial" w:eastAsia="黑体" w:cs="Arial"/>
      <w:kern w:val="2"/>
      <w:sz w:val="24"/>
    </w:rPr>
  </w:style>
  <w:style w:type="character" w:customStyle="1" w:styleId="91">
    <w:name w:val="apple-converted-space"/>
    <w:basedOn w:val="38"/>
    <w:qFormat/>
    <w:uiPriority w:val="0"/>
  </w:style>
  <w:style w:type="character" w:customStyle="1" w:styleId="92">
    <w:name w:val="批注框文本 Char"/>
    <w:link w:val="24"/>
    <w:qFormat/>
    <w:uiPriority w:val="99"/>
    <w:rPr>
      <w:rFonts w:ascii="宋体" w:cs="宋体"/>
      <w:kern w:val="2"/>
      <w:sz w:val="18"/>
      <w:szCs w:val="18"/>
    </w:rPr>
  </w:style>
  <w:style w:type="character" w:customStyle="1" w:styleId="93">
    <w:name w:val="副标题 Char"/>
    <w:link w:val="27"/>
    <w:qFormat/>
    <w:uiPriority w:val="0"/>
    <w:rPr>
      <w:rFonts w:ascii="Cambria" w:hAnsi="Cambria"/>
      <w:b/>
      <w:kern w:val="28"/>
      <w:sz w:val="32"/>
    </w:rPr>
  </w:style>
  <w:style w:type="character" w:customStyle="1" w:styleId="94">
    <w:name w:val="纯文本 Char"/>
    <w:link w:val="21"/>
    <w:qFormat/>
    <w:uiPriority w:val="0"/>
    <w:rPr>
      <w:rFonts w:ascii="宋体" w:hAnsi="Courier New" w:cs="宋体"/>
      <w:kern w:val="2"/>
      <w:sz w:val="21"/>
      <w:szCs w:val="21"/>
    </w:rPr>
  </w:style>
  <w:style w:type="character" w:customStyle="1" w:styleId="95">
    <w:name w:val="页眉 Char"/>
    <w:link w:val="26"/>
    <w:qFormat/>
    <w:uiPriority w:val="99"/>
    <w:rPr>
      <w:rFonts w:ascii="宋体" w:cs="宋体"/>
      <w:sz w:val="18"/>
      <w:szCs w:val="18"/>
    </w:rPr>
  </w:style>
  <w:style w:type="character" w:customStyle="1" w:styleId="96">
    <w:name w:val="2级标题 Char Char"/>
    <w:link w:val="97"/>
    <w:qFormat/>
    <w:uiPriority w:val="0"/>
    <w:rPr>
      <w:rFonts w:ascii="宋体" w:eastAsia="宋体" w:cs="宋体"/>
      <w:b/>
      <w:bCs/>
      <w:color w:val="000000"/>
      <w:kern w:val="2"/>
      <w:sz w:val="24"/>
      <w:szCs w:val="24"/>
    </w:rPr>
  </w:style>
  <w:style w:type="paragraph" w:customStyle="1" w:styleId="97">
    <w:name w:val="2级标题"/>
    <w:basedOn w:val="1"/>
    <w:link w:val="96"/>
    <w:qFormat/>
    <w:uiPriority w:val="0"/>
    <w:pPr>
      <w:spacing w:line="480" w:lineRule="exact"/>
      <w:ind w:firstLine="482" w:firstLineChars="200"/>
    </w:pPr>
    <w:rPr>
      <w:rFonts w:cs="Times New Roman"/>
      <w:b/>
      <w:bCs/>
      <w:color w:val="000000"/>
      <w:sz w:val="24"/>
      <w:szCs w:val="24"/>
    </w:rPr>
  </w:style>
  <w:style w:type="character" w:customStyle="1" w:styleId="98">
    <w:name w:val="批注主题 Char"/>
    <w:link w:val="34"/>
    <w:qFormat/>
    <w:uiPriority w:val="99"/>
    <w:rPr>
      <w:rFonts w:ascii="宋体" w:cs="宋体"/>
      <w:b/>
      <w:bCs/>
      <w:kern w:val="2"/>
      <w:sz w:val="28"/>
      <w:szCs w:val="28"/>
    </w:rPr>
  </w:style>
  <w:style w:type="character" w:customStyle="1" w:styleId="99">
    <w:name w:val="style91"/>
    <w:qFormat/>
    <w:uiPriority w:val="0"/>
    <w:rPr>
      <w:b/>
      <w:bCs/>
      <w:color w:val="0000FF"/>
    </w:rPr>
  </w:style>
  <w:style w:type="character" w:customStyle="1" w:styleId="100">
    <w:name w:val="标题 9 Char"/>
    <w:link w:val="11"/>
    <w:qFormat/>
    <w:uiPriority w:val="0"/>
    <w:rPr>
      <w:rFonts w:ascii="Arial" w:hAnsi="Arial" w:eastAsia="黑体" w:cs="Arial"/>
      <w:kern w:val="2"/>
      <w:sz w:val="21"/>
    </w:rPr>
  </w:style>
  <w:style w:type="character" w:customStyle="1" w:styleId="101">
    <w:name w:val="Subtitle Char1"/>
    <w:qFormat/>
    <w:uiPriority w:val="0"/>
    <w:rPr>
      <w:rFonts w:ascii="Cambria" w:hAnsi="Cambria" w:cs="Times New Roman"/>
      <w:b/>
      <w:bCs/>
      <w:kern w:val="28"/>
      <w:sz w:val="32"/>
      <w:szCs w:val="32"/>
    </w:rPr>
  </w:style>
  <w:style w:type="character" w:customStyle="1" w:styleId="102">
    <w:name w:val="列出段落 Char"/>
    <w:link w:val="103"/>
    <w:qFormat/>
    <w:uiPriority w:val="0"/>
    <w:rPr>
      <w:rFonts w:ascii="Calibri" w:hAnsi="Calibri"/>
    </w:rPr>
  </w:style>
  <w:style w:type="paragraph" w:customStyle="1" w:styleId="103">
    <w:name w:val="列出段落2"/>
    <w:basedOn w:val="1"/>
    <w:link w:val="102"/>
    <w:qFormat/>
    <w:uiPriority w:val="0"/>
    <w:pPr>
      <w:ind w:firstLine="420" w:firstLineChars="200"/>
    </w:pPr>
    <w:rPr>
      <w:rFonts w:ascii="Calibri" w:hAnsi="Calibri" w:cs="Times New Roman"/>
      <w:kern w:val="0"/>
      <w:sz w:val="20"/>
      <w:szCs w:val="20"/>
    </w:rPr>
  </w:style>
  <w:style w:type="character" w:customStyle="1" w:styleId="104">
    <w:name w:val="标题 3 Char"/>
    <w:link w:val="5"/>
    <w:qFormat/>
    <w:uiPriority w:val="9"/>
    <w:rPr>
      <w:rFonts w:eastAsia="黑体" w:cs="Times New Roman"/>
      <w:kern w:val="2"/>
      <w:sz w:val="32"/>
      <w:szCs w:val="32"/>
    </w:rPr>
  </w:style>
  <w:style w:type="paragraph" w:customStyle="1" w:styleId="105">
    <w:name w:val="font7"/>
    <w:basedOn w:val="1"/>
    <w:qFormat/>
    <w:uiPriority w:val="0"/>
    <w:pPr>
      <w:widowControl/>
      <w:spacing w:before="100" w:beforeAutospacing="1" w:after="100" w:afterAutospacing="1"/>
      <w:jc w:val="left"/>
    </w:pPr>
    <w:rPr>
      <w:rFonts w:hAnsi="宋体"/>
      <w:kern w:val="0"/>
    </w:rPr>
  </w:style>
  <w:style w:type="paragraph" w:customStyle="1" w:styleId="106">
    <w:name w:val="font5"/>
    <w:basedOn w:val="1"/>
    <w:qFormat/>
    <w:uiPriority w:val="0"/>
    <w:pPr>
      <w:widowControl/>
      <w:spacing w:before="100" w:beforeAutospacing="1" w:after="100" w:afterAutospacing="1"/>
      <w:jc w:val="left"/>
    </w:pPr>
    <w:rPr>
      <w:rFonts w:hAnsi="宋体"/>
      <w:kern w:val="0"/>
      <w:sz w:val="24"/>
      <w:szCs w:val="24"/>
    </w:rPr>
  </w:style>
  <w:style w:type="paragraph" w:customStyle="1" w:styleId="107">
    <w:name w:val="CBD标题3"/>
    <w:basedOn w:val="1"/>
    <w:next w:val="1"/>
    <w:qFormat/>
    <w:uiPriority w:val="0"/>
    <w:pPr>
      <w:outlineLvl w:val="2"/>
    </w:pPr>
    <w:rPr>
      <w:rFonts w:ascii="Times New Roman" w:cs="Times New Roman"/>
      <w:b/>
      <w:sz w:val="30"/>
      <w:szCs w:val="24"/>
    </w:rPr>
  </w:style>
  <w:style w:type="paragraph" w:customStyle="1" w:styleId="10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cs="Times New Roman"/>
      <w:kern w:val="0"/>
      <w:sz w:val="20"/>
      <w:szCs w:val="20"/>
    </w:rPr>
  </w:style>
  <w:style w:type="paragraph" w:customStyle="1" w:styleId="109">
    <w:name w:val="默认段落字体 Para Char"/>
    <w:basedOn w:val="1"/>
    <w:qFormat/>
    <w:uiPriority w:val="0"/>
    <w:rPr>
      <w:rFonts w:ascii="Times New Roman" w:cs="Times New Roman"/>
      <w:sz w:val="21"/>
      <w:szCs w:val="24"/>
    </w:rPr>
  </w:style>
  <w:style w:type="paragraph" w:customStyle="1" w:styleId="110">
    <w:name w:val="Char Char Char Char Char Char Char"/>
    <w:basedOn w:val="1"/>
    <w:qFormat/>
    <w:uiPriority w:val="0"/>
    <w:pPr>
      <w:keepNext/>
      <w:keepLines/>
      <w:pageBreakBefore/>
      <w:tabs>
        <w:tab w:val="left" w:pos="420"/>
      </w:tabs>
      <w:ind w:left="420" w:firstLine="200" w:firstLineChars="200"/>
    </w:pPr>
    <w:rPr>
      <w:rFonts w:ascii="Tahoma" w:hAnsi="Tahoma" w:cs="Times New Roman"/>
      <w:sz w:val="24"/>
      <w:szCs w:val="20"/>
    </w:rPr>
  </w:style>
  <w:style w:type="paragraph" w:customStyle="1" w:styleId="11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kern w:val="0"/>
      <w:sz w:val="20"/>
      <w:szCs w:val="20"/>
    </w:rPr>
  </w:style>
  <w:style w:type="paragraph" w:customStyle="1" w:styleId="112">
    <w:name w:val="font10"/>
    <w:basedOn w:val="1"/>
    <w:qFormat/>
    <w:uiPriority w:val="0"/>
    <w:pPr>
      <w:widowControl/>
      <w:spacing w:before="100" w:beforeAutospacing="1" w:after="100" w:afterAutospacing="1"/>
      <w:jc w:val="left"/>
    </w:pPr>
    <w:rPr>
      <w:rFonts w:ascii="Times New Roman" w:cs="Times New Roman"/>
      <w:kern w:val="0"/>
    </w:rPr>
  </w:style>
  <w:style w:type="paragraph" w:customStyle="1" w:styleId="113">
    <w:name w:val="默认段落字体 Para Char Char Char Char Char Char Char Char Char Char Char Char Char Char Char Char"/>
    <w:basedOn w:val="1"/>
    <w:qFormat/>
    <w:uiPriority w:val="0"/>
  </w:style>
  <w:style w:type="paragraph" w:customStyle="1" w:styleId="114">
    <w:name w:val="Char Char Char"/>
    <w:basedOn w:val="1"/>
    <w:qFormat/>
    <w:uiPriority w:val="0"/>
    <w:rPr>
      <w:rFonts w:ascii="Tahoma" w:hAnsi="Tahoma" w:cs="Times New Roman"/>
      <w:sz w:val="24"/>
      <w:szCs w:val="20"/>
    </w:rPr>
  </w:style>
  <w:style w:type="paragraph" w:customStyle="1" w:styleId="115">
    <w:name w:val="1正文"/>
    <w:basedOn w:val="1"/>
    <w:qFormat/>
    <w:uiPriority w:val="0"/>
    <w:pPr>
      <w:widowControl/>
      <w:spacing w:beforeLines="10" w:afterLines="10" w:line="360" w:lineRule="auto"/>
      <w:ind w:firstLine="200" w:firstLineChars="200"/>
      <w:jc w:val="left"/>
      <w:textAlignment w:val="baseline"/>
    </w:pPr>
    <w:rPr>
      <w:rFonts w:ascii="Times New Roman"/>
      <w:sz w:val="24"/>
    </w:rPr>
  </w:style>
  <w:style w:type="paragraph" w:customStyle="1" w:styleId="11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cs="Times New Roman"/>
      <w:kern w:val="0"/>
      <w:sz w:val="20"/>
      <w:szCs w:val="20"/>
    </w:rPr>
  </w:style>
  <w:style w:type="paragraph" w:customStyle="1" w:styleId="117">
    <w:name w:val="1.正文"/>
    <w:basedOn w:val="1"/>
    <w:qFormat/>
    <w:uiPriority w:val="0"/>
    <w:pPr>
      <w:spacing w:line="360" w:lineRule="auto"/>
      <w:ind w:left="425" w:hanging="425"/>
    </w:pPr>
    <w:rPr>
      <w:rFonts w:ascii="Times New Roman" w:cs="Times New Roman"/>
      <w:sz w:val="24"/>
      <w:szCs w:val="24"/>
    </w:rPr>
  </w:style>
  <w:style w:type="paragraph" w:customStyle="1" w:styleId="118">
    <w:name w:val="TOC 标题1"/>
    <w:basedOn w:val="3"/>
    <w:next w:val="1"/>
    <w:qFormat/>
    <w:uiPriority w:val="0"/>
    <w:pPr>
      <w:widowControl/>
      <w:spacing w:before="480" w:line="276" w:lineRule="auto"/>
      <w:jc w:val="left"/>
      <w:outlineLvl w:val="9"/>
    </w:pPr>
    <w:rPr>
      <w:rFonts w:ascii="Cambria" w:hAnsi="Cambria" w:cs="Cambria"/>
      <w:color w:val="365F91"/>
      <w:kern w:val="0"/>
      <w:sz w:val="28"/>
      <w:szCs w:val="28"/>
    </w:rPr>
  </w:style>
  <w:style w:type="paragraph" w:customStyle="1" w:styleId="119">
    <w:name w:val="表格"/>
    <w:basedOn w:val="1"/>
    <w:qFormat/>
    <w:uiPriority w:val="0"/>
    <w:pPr>
      <w:spacing w:line="360" w:lineRule="auto"/>
      <w:ind w:left="-108" w:right="-108"/>
      <w:jc w:val="center"/>
    </w:pPr>
    <w:rPr>
      <w:rFonts w:ascii="Times New Roman" w:cs="Times New Roman"/>
      <w:sz w:val="24"/>
      <w:szCs w:val="20"/>
    </w:rPr>
  </w:style>
  <w:style w:type="paragraph" w:customStyle="1" w:styleId="12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1">
    <w:name w:val="È¡ÀÊ¡ÎÄ¡À¾"/>
    <w:basedOn w:val="1"/>
    <w:qFormat/>
    <w:uiPriority w:val="0"/>
    <w:pPr>
      <w:widowControl/>
      <w:overflowPunct w:val="0"/>
      <w:autoSpaceDE w:val="0"/>
      <w:autoSpaceDN w:val="0"/>
      <w:adjustRightInd w:val="0"/>
      <w:jc w:val="left"/>
      <w:textAlignment w:val="baseline"/>
    </w:pPr>
    <w:rPr>
      <w:kern w:val="0"/>
      <w:sz w:val="24"/>
      <w:szCs w:val="24"/>
    </w:rPr>
  </w:style>
  <w:style w:type="paragraph" w:customStyle="1" w:styleId="122">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Arial Unicode MS" w:hAnsi="Arial Unicode MS" w:cs="Arial Unicode MS"/>
      <w:kern w:val="0"/>
      <w:sz w:val="22"/>
      <w:szCs w:val="22"/>
    </w:rPr>
  </w:style>
  <w:style w:type="paragraph" w:customStyle="1" w:styleId="123">
    <w:name w:val="11正文"/>
    <w:basedOn w:val="1"/>
    <w:qFormat/>
    <w:uiPriority w:val="0"/>
    <w:pPr>
      <w:widowControl/>
      <w:spacing w:beforeLines="10" w:afterLines="10" w:line="360" w:lineRule="auto"/>
      <w:ind w:firstLine="200" w:firstLineChars="200"/>
      <w:jc w:val="left"/>
      <w:textAlignment w:val="baseline"/>
    </w:pPr>
    <w:rPr>
      <w:rFonts w:ascii="Times New Roman"/>
      <w:kern w:val="0"/>
      <w:sz w:val="24"/>
    </w:rPr>
  </w:style>
  <w:style w:type="paragraph" w:customStyle="1" w:styleId="12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2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27">
    <w:name w:val="font8"/>
    <w:basedOn w:val="1"/>
    <w:qFormat/>
    <w:uiPriority w:val="0"/>
    <w:pPr>
      <w:widowControl/>
      <w:spacing w:before="100" w:beforeAutospacing="1" w:after="100" w:afterAutospacing="1"/>
      <w:jc w:val="left"/>
    </w:pPr>
    <w:rPr>
      <w:rFonts w:hAnsi="宋体"/>
      <w:kern w:val="0"/>
      <w:sz w:val="20"/>
      <w:szCs w:val="20"/>
    </w:rPr>
  </w:style>
  <w:style w:type="paragraph" w:customStyle="1" w:styleId="128">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rPr>
  </w:style>
  <w:style w:type="paragraph" w:customStyle="1" w:styleId="130">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1">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4"/>
      <w:szCs w:val="24"/>
    </w:rPr>
  </w:style>
  <w:style w:type="paragraph" w:customStyle="1" w:styleId="13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4">
    <w:name w:val="0正文"/>
    <w:basedOn w:val="1"/>
    <w:qFormat/>
    <w:uiPriority w:val="0"/>
    <w:pPr>
      <w:widowControl/>
      <w:spacing w:beforeLines="10" w:afterLines="10" w:line="360" w:lineRule="auto"/>
      <w:ind w:firstLine="480" w:firstLineChars="200"/>
      <w:jc w:val="left"/>
      <w:textAlignment w:val="baseline"/>
    </w:pPr>
    <w:rPr>
      <w:rFonts w:ascii="Times New Roman"/>
      <w:kern w:val="0"/>
      <w:sz w:val="24"/>
    </w:rPr>
  </w:style>
  <w:style w:type="paragraph" w:customStyle="1" w:styleId="13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3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2"/>
      <w:szCs w:val="22"/>
    </w:rPr>
  </w:style>
  <w:style w:type="paragraph" w:customStyle="1" w:styleId="137">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b/>
      <w:bCs/>
      <w:kern w:val="0"/>
      <w:sz w:val="24"/>
      <w:szCs w:val="24"/>
    </w:rPr>
  </w:style>
  <w:style w:type="paragraph" w:customStyle="1" w:styleId="13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39">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4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rPr>
  </w:style>
  <w:style w:type="paragraph" w:customStyle="1" w:styleId="141">
    <w:name w:val="List Paragraph1"/>
    <w:basedOn w:val="1"/>
    <w:qFormat/>
    <w:uiPriority w:val="0"/>
    <w:pPr>
      <w:ind w:firstLine="420" w:firstLineChars="200"/>
    </w:pPr>
    <w:rPr>
      <w:rFonts w:ascii="Calibri" w:hAnsi="Calibri" w:cs="Times New Roman"/>
      <w:sz w:val="21"/>
      <w:szCs w:val="22"/>
    </w:rPr>
  </w:style>
  <w:style w:type="paragraph" w:customStyle="1" w:styleId="142">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44">
    <w:name w:val="font9"/>
    <w:basedOn w:val="1"/>
    <w:qFormat/>
    <w:uiPriority w:val="0"/>
    <w:pPr>
      <w:widowControl/>
      <w:spacing w:before="100" w:beforeAutospacing="1" w:after="100" w:afterAutospacing="1"/>
      <w:jc w:val="left"/>
    </w:pPr>
    <w:rPr>
      <w:rFonts w:ascii="Times New Roman" w:cs="Times New Roman"/>
      <w:kern w:val="0"/>
      <w:sz w:val="20"/>
      <w:szCs w:val="20"/>
    </w:rPr>
  </w:style>
  <w:style w:type="paragraph" w:customStyle="1" w:styleId="145">
    <w:name w:val="列出段落1"/>
    <w:basedOn w:val="1"/>
    <w:qFormat/>
    <w:uiPriority w:val="0"/>
    <w:pPr>
      <w:ind w:firstLine="420" w:firstLineChars="200"/>
    </w:pPr>
    <w:rPr>
      <w:rFonts w:ascii="Calibri" w:hAnsi="Calibri" w:cs="Times New Roman"/>
      <w:sz w:val="21"/>
      <w:szCs w:val="22"/>
    </w:rPr>
  </w:style>
  <w:style w:type="paragraph" w:customStyle="1" w:styleId="146">
    <w:name w:val="Char1"/>
    <w:basedOn w:val="1"/>
    <w:qFormat/>
    <w:uiPriority w:val="0"/>
    <w:rPr>
      <w:rFonts w:ascii="Tahoma" w:hAnsi="Tahoma" w:cs="Times New Roman"/>
      <w:sz w:val="24"/>
      <w:szCs w:val="20"/>
    </w:rPr>
  </w:style>
  <w:style w:type="paragraph" w:customStyle="1" w:styleId="147">
    <w:name w:val="hei"/>
    <w:basedOn w:val="1"/>
    <w:qFormat/>
    <w:uiPriority w:val="0"/>
    <w:pPr>
      <w:widowControl/>
      <w:spacing w:before="100" w:beforeAutospacing="1" w:after="100" w:afterAutospacing="1"/>
      <w:jc w:val="left"/>
    </w:pPr>
    <w:rPr>
      <w:rFonts w:hAnsi="宋体"/>
      <w:kern w:val="0"/>
      <w:sz w:val="24"/>
      <w:szCs w:val="24"/>
    </w:rPr>
  </w:style>
  <w:style w:type="paragraph" w:customStyle="1" w:styleId="148">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149">
    <w:name w:val="Char Char14"/>
    <w:basedOn w:val="1"/>
    <w:qFormat/>
    <w:uiPriority w:val="0"/>
    <w:pPr>
      <w:spacing w:line="360" w:lineRule="auto"/>
      <w:ind w:firstLine="200" w:firstLineChars="200"/>
    </w:pPr>
    <w:rPr>
      <w:rFonts w:cs="Times New Roman"/>
      <w:bCs/>
      <w:szCs w:val="24"/>
    </w:rPr>
  </w:style>
  <w:style w:type="paragraph" w:customStyle="1" w:styleId="150">
    <w:name w:val="font6"/>
    <w:basedOn w:val="1"/>
    <w:qFormat/>
    <w:uiPriority w:val="0"/>
    <w:pPr>
      <w:widowControl/>
      <w:spacing w:before="100" w:beforeAutospacing="1" w:after="100" w:afterAutospacing="1"/>
      <w:jc w:val="left"/>
    </w:pPr>
    <w:rPr>
      <w:rFonts w:hAnsi="宋体"/>
      <w:kern w:val="0"/>
      <w:sz w:val="18"/>
      <w:szCs w:val="18"/>
    </w:rPr>
  </w:style>
  <w:style w:type="paragraph" w:customStyle="1" w:styleId="151">
    <w:name w:val="正文 + 楷体_GB2312"/>
    <w:basedOn w:val="1"/>
    <w:qFormat/>
    <w:uiPriority w:val="0"/>
    <w:pPr>
      <w:snapToGrid w:val="0"/>
      <w:spacing w:line="480" w:lineRule="exact"/>
      <w:ind w:firstLine="480" w:firstLineChars="200"/>
    </w:pPr>
    <w:rPr>
      <w:rFonts w:ascii="楷体_GB2312" w:eastAsia="楷体_GB2312" w:cs="Times New Roman"/>
      <w:sz w:val="24"/>
      <w:szCs w:val="24"/>
    </w:rPr>
  </w:style>
  <w:style w:type="paragraph" w:customStyle="1" w:styleId="152">
    <w:name w:val="Char Char Char1 Char8"/>
    <w:basedOn w:val="1"/>
    <w:qFormat/>
    <w:uiPriority w:val="0"/>
    <w:pPr>
      <w:spacing w:line="360" w:lineRule="auto"/>
      <w:ind w:firstLine="200" w:firstLineChars="200"/>
    </w:pPr>
  </w:style>
  <w:style w:type="paragraph" w:customStyle="1" w:styleId="153">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54">
    <w:name w:val="p0"/>
    <w:basedOn w:val="1"/>
    <w:qFormat/>
    <w:uiPriority w:val="0"/>
    <w:pPr>
      <w:widowControl/>
      <w:spacing w:before="100" w:beforeAutospacing="1" w:after="100" w:afterAutospacing="1"/>
      <w:jc w:val="left"/>
    </w:pPr>
    <w:rPr>
      <w:rFonts w:hAnsi="宋体"/>
      <w:kern w:val="0"/>
      <w:sz w:val="24"/>
      <w:szCs w:val="24"/>
    </w:rPr>
  </w:style>
  <w:style w:type="paragraph" w:customStyle="1" w:styleId="15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2"/>
      <w:szCs w:val="22"/>
    </w:rPr>
  </w:style>
  <w:style w:type="paragraph" w:customStyle="1" w:styleId="156">
    <w:name w:val="p15"/>
    <w:basedOn w:val="1"/>
    <w:qFormat/>
    <w:uiPriority w:val="0"/>
    <w:pPr>
      <w:widowControl/>
    </w:pPr>
    <w:rPr>
      <w:rFonts w:ascii="Times New Roman" w:cs="Times New Roman"/>
      <w:kern w:val="0"/>
      <w:sz w:val="21"/>
      <w:szCs w:val="21"/>
    </w:rPr>
  </w:style>
  <w:style w:type="character" w:customStyle="1" w:styleId="157">
    <w:name w:val="正文文本首行缩进 字符"/>
    <w:qFormat/>
    <w:uiPriority w:val="99"/>
    <w:rPr>
      <w:kern w:val="2"/>
      <w:sz w:val="21"/>
      <w:szCs w:val="24"/>
    </w:rPr>
  </w:style>
  <w:style w:type="character" w:customStyle="1" w:styleId="158">
    <w:name w:val="正文首行缩进 Char"/>
    <w:basedOn w:val="56"/>
    <w:link w:val="35"/>
    <w:qFormat/>
    <w:uiPriority w:val="99"/>
    <w:rPr>
      <w:rFonts w:ascii="Calibri" w:hAnsi="Calibri" w:eastAsia="宋体" w:cs="宋体"/>
      <w:kern w:val="2"/>
      <w:sz w:val="21"/>
      <w:szCs w:val="22"/>
    </w:rPr>
  </w:style>
  <w:style w:type="character" w:customStyle="1" w:styleId="159">
    <w:name w:val="news_meta"/>
    <w:basedOn w:val="38"/>
    <w:qFormat/>
    <w:uiPriority w:val="0"/>
  </w:style>
  <w:style w:type="character" w:customStyle="1" w:styleId="160">
    <w:name w:val="news_title"/>
    <w:basedOn w:val="38"/>
    <w:qFormat/>
    <w:uiPriority w:val="0"/>
  </w:style>
  <w:style w:type="character" w:customStyle="1" w:styleId="161">
    <w:name w:val="pubdate-month"/>
    <w:basedOn w:val="38"/>
    <w:qFormat/>
    <w:uiPriority w:val="0"/>
    <w:rPr>
      <w:color w:val="FFFFFF"/>
      <w:sz w:val="24"/>
      <w:szCs w:val="24"/>
      <w:shd w:val="clear" w:color="auto" w:fill="CC0000"/>
    </w:rPr>
  </w:style>
  <w:style w:type="character" w:customStyle="1" w:styleId="162">
    <w:name w:val="pubdate-day"/>
    <w:basedOn w:val="38"/>
    <w:qFormat/>
    <w:uiPriority w:val="0"/>
    <w:rPr>
      <w:shd w:val="clear" w:color="auto" w:fill="F2F2F2"/>
    </w:rPr>
  </w:style>
  <w:style w:type="character" w:customStyle="1" w:styleId="163">
    <w:name w:val="item-name"/>
    <w:basedOn w:val="38"/>
    <w:qFormat/>
    <w:uiPriority w:val="0"/>
  </w:style>
  <w:style w:type="character" w:customStyle="1" w:styleId="164">
    <w:name w:val="item-name1"/>
    <w:basedOn w:val="38"/>
    <w:qFormat/>
    <w:uiPriority w:val="0"/>
  </w:style>
  <w:style w:type="character" w:customStyle="1" w:styleId="165">
    <w:name w:val="column-name24"/>
    <w:basedOn w:val="38"/>
    <w:qFormat/>
    <w:uiPriority w:val="0"/>
    <w:rPr>
      <w:color w:val="124D83"/>
    </w:rPr>
  </w:style>
  <w:style w:type="character" w:customStyle="1" w:styleId="166">
    <w:name w:val="column-name25"/>
    <w:basedOn w:val="38"/>
    <w:qFormat/>
    <w:uiPriority w:val="0"/>
    <w:rPr>
      <w:color w:val="124D83"/>
    </w:rPr>
  </w:style>
  <w:style w:type="character" w:customStyle="1" w:styleId="167">
    <w:name w:val="column-name26"/>
    <w:basedOn w:val="38"/>
    <w:qFormat/>
    <w:uiPriority w:val="0"/>
    <w:rPr>
      <w:color w:val="124D83"/>
    </w:rPr>
  </w:style>
  <w:style w:type="character" w:customStyle="1" w:styleId="168">
    <w:name w:val="column-name27"/>
    <w:basedOn w:val="38"/>
    <w:qFormat/>
    <w:uiPriority w:val="0"/>
    <w:rPr>
      <w:color w:val="124D83"/>
    </w:rPr>
  </w:style>
  <w:style w:type="character" w:customStyle="1" w:styleId="169">
    <w:name w:val="column-name28"/>
    <w:basedOn w:val="38"/>
    <w:qFormat/>
    <w:uiPriority w:val="0"/>
    <w:rPr>
      <w:color w:val="124D83"/>
    </w:rPr>
  </w:style>
  <w:style w:type="character" w:customStyle="1" w:styleId="170">
    <w:name w:val="column-name"/>
    <w:basedOn w:val="38"/>
    <w:qFormat/>
    <w:uiPriority w:val="0"/>
    <w:rPr>
      <w:color w:val="124D83"/>
    </w:rPr>
  </w:style>
  <w:style w:type="character" w:customStyle="1" w:styleId="171">
    <w:name w:val="column-name1"/>
    <w:basedOn w:val="38"/>
    <w:qFormat/>
    <w:uiPriority w:val="0"/>
    <w:rPr>
      <w:color w:val="124D83"/>
    </w:rPr>
  </w:style>
  <w:style w:type="character" w:customStyle="1" w:styleId="172">
    <w:name w:val="column-name2"/>
    <w:basedOn w:val="38"/>
    <w:qFormat/>
    <w:uiPriority w:val="0"/>
    <w:rPr>
      <w:color w:val="124D83"/>
    </w:rPr>
  </w:style>
  <w:style w:type="character" w:customStyle="1" w:styleId="173">
    <w:name w:val="column-name3"/>
    <w:basedOn w:val="38"/>
    <w:qFormat/>
    <w:uiPriority w:val="0"/>
    <w:rPr>
      <w:color w:val="124D83"/>
    </w:rPr>
  </w:style>
  <w:style w:type="character" w:customStyle="1" w:styleId="174">
    <w:name w:val="column-name4"/>
    <w:basedOn w:val="38"/>
    <w:qFormat/>
    <w:uiPriority w:val="0"/>
    <w:rPr>
      <w:color w:val="124D83"/>
    </w:rPr>
  </w:style>
  <w:style w:type="paragraph" w:customStyle="1" w:styleId="175">
    <w:name w:val="样式 宋体 四号 居中 行距: 1.5 倍行距"/>
    <w:basedOn w:val="1"/>
    <w:qFormat/>
    <w:uiPriority w:val="0"/>
    <w:pPr>
      <w:spacing w:line="360" w:lineRule="auto"/>
      <w:jc w:val="center"/>
    </w:pPr>
    <w:rPr>
      <w:rFonts w:hAnsi="Cambria"/>
      <w:szCs w:val="20"/>
    </w:rPr>
  </w:style>
  <w:style w:type="character" w:customStyle="1" w:styleId="176">
    <w:name w:val="font31"/>
    <w:basedOn w:val="38"/>
    <w:qFormat/>
    <w:uiPriority w:val="0"/>
    <w:rPr>
      <w:rFonts w:hint="eastAsia" w:ascii="微软雅黑" w:hAnsi="微软雅黑" w:eastAsia="微软雅黑" w:cs="微软雅黑"/>
      <w:color w:val="FF0000"/>
      <w:sz w:val="21"/>
      <w:szCs w:val="21"/>
      <w:u w:val="none"/>
    </w:rPr>
  </w:style>
  <w:style w:type="character" w:customStyle="1" w:styleId="177">
    <w:name w:val="font41"/>
    <w:basedOn w:val="38"/>
    <w:qFormat/>
    <w:uiPriority w:val="0"/>
    <w:rPr>
      <w:rFonts w:hint="eastAsia" w:ascii="微软雅黑" w:hAnsi="微软雅黑" w:eastAsia="微软雅黑" w:cs="微软雅黑"/>
      <w:color w:val="404040"/>
      <w:sz w:val="21"/>
      <w:szCs w:val="21"/>
      <w:u w:val="none"/>
    </w:rPr>
  </w:style>
  <w:style w:type="character" w:customStyle="1" w:styleId="178">
    <w:name w:val="楷体 (中文) 楷体"/>
    <w:qFormat/>
    <w:uiPriority w:val="0"/>
    <w:rPr>
      <w:rFonts w:ascii="楷体" w:hAnsi="楷体" w:eastAsia="楷体"/>
      <w:kern w:val="1"/>
      <w:sz w:val="28"/>
    </w:rPr>
  </w:style>
  <w:style w:type="paragraph" w:customStyle="1" w:styleId="179">
    <w:name w:val="Body Text First Indent1"/>
    <w:basedOn w:val="17"/>
    <w:next w:val="17"/>
    <w:qFormat/>
    <w:uiPriority w:val="0"/>
    <w:pPr>
      <w:tabs>
        <w:tab w:val="left" w:pos="219"/>
        <w:tab w:val="left" w:pos="420"/>
      </w:tabs>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97233-705C-46F5-82D9-A89807886E86}">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45</Pages>
  <Words>15441</Words>
  <Characters>16197</Characters>
  <Lines>153</Lines>
  <Paragraphs>43</Paragraphs>
  <TotalTime>2</TotalTime>
  <ScaleCrop>false</ScaleCrop>
  <LinksUpToDate>false</LinksUpToDate>
  <CharactersWithSpaces>17477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2022-10-05T06:47:00Z</dcterms:created>
  <dc:creator>wulai</dc:creator>
  <cp:lastModifiedBy>WJ</cp:lastModifiedBy>
  <cp:lastPrinted>2022-07-03T23:40:00Z</cp:lastPrinted>
  <dcterms:modified xsi:type="dcterms:W3CDTF">2022-10-07T08:29:25Z</dcterms:modified>
  <dc:title>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BC6838FB41334BC397DD6859BBBA91D8</vt:lpwstr>
  </property>
</Properties>
</file>