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left"/>
        <w:rPr>
          <w:rFonts w:ascii="仿宋" w:hAnsi="仿宋" w:eastAsia="仿宋" w:cs="仿宋"/>
          <w:color w:val="auto"/>
          <w:highlight w:val="none"/>
        </w:rPr>
      </w:pPr>
      <w:bookmarkStart w:id="0" w:name="_Toc325446794"/>
      <w:bookmarkStart w:id="1" w:name="_Toc326783408"/>
      <w:bookmarkStart w:id="2" w:name="_Toc325731733"/>
      <w:r>
        <w:rPr>
          <w:rFonts w:hint="eastAsia" w:ascii="仿宋" w:hAnsi="仿宋" w:eastAsia="仿宋" w:cs="仿宋"/>
          <w:color w:val="auto"/>
          <w:highlight w:val="none"/>
        </w:rPr>
        <w:t>项目编号：</w:t>
      </w:r>
      <w:bookmarkEnd w:id="0"/>
      <w:bookmarkEnd w:id="1"/>
      <w:bookmarkEnd w:id="2"/>
      <w:r>
        <w:rPr>
          <w:rFonts w:hint="eastAsia" w:ascii="仿宋" w:hAnsi="仿宋" w:eastAsia="仿宋" w:cs="仿宋"/>
          <w:color w:val="auto"/>
          <w:highlight w:val="none"/>
        </w:rPr>
        <w:t>SHSDZB2022-017</w:t>
      </w:r>
    </w:p>
    <w:p>
      <w:pPr>
        <w:spacing w:line="360" w:lineRule="auto"/>
        <w:jc w:val="left"/>
        <w:rPr>
          <w:rFonts w:ascii="仿宋" w:hAnsi="仿宋" w:eastAsia="仿宋" w:cs="仿宋"/>
          <w:b/>
          <w:bCs/>
          <w:color w:val="auto"/>
          <w:sz w:val="48"/>
          <w:szCs w:val="48"/>
          <w:highlight w:val="none"/>
        </w:rPr>
      </w:pPr>
      <w:bookmarkStart w:id="3" w:name="OLE_LINK1"/>
    </w:p>
    <w:p>
      <w:pPr>
        <w:spacing w:line="360" w:lineRule="auto"/>
        <w:jc w:val="center"/>
        <w:rPr>
          <w:rFonts w:ascii="仿宋" w:hAnsi="仿宋" w:eastAsia="仿宋" w:cs="仿宋"/>
          <w:b/>
          <w:bCs/>
          <w:color w:val="auto"/>
          <w:sz w:val="48"/>
          <w:szCs w:val="48"/>
          <w:highlight w:val="none"/>
        </w:rPr>
      </w:pPr>
    </w:p>
    <w:p>
      <w:pPr>
        <w:spacing w:line="360" w:lineRule="auto"/>
        <w:jc w:val="center"/>
        <w:rPr>
          <w:rFonts w:ascii="仿宋" w:hAnsi="仿宋" w:eastAsia="仿宋" w:cs="仿宋"/>
          <w:b/>
          <w:bCs/>
          <w:color w:val="auto"/>
          <w:sz w:val="48"/>
          <w:szCs w:val="48"/>
          <w:highlight w:val="none"/>
        </w:rPr>
      </w:pPr>
      <w:r>
        <w:rPr>
          <w:rFonts w:hint="eastAsia" w:ascii="仿宋" w:hAnsi="仿宋" w:eastAsia="仿宋" w:cs="仿宋"/>
          <w:b/>
          <w:bCs/>
          <w:color w:val="auto"/>
          <w:sz w:val="48"/>
          <w:szCs w:val="48"/>
          <w:highlight w:val="none"/>
        </w:rPr>
        <w:t>中国石油大学(华东)</w:t>
      </w:r>
    </w:p>
    <w:p>
      <w:pPr>
        <w:spacing w:line="360" w:lineRule="auto"/>
        <w:jc w:val="center"/>
        <w:rPr>
          <w:rFonts w:ascii="仿宋" w:hAnsi="仿宋" w:eastAsia="仿宋" w:cs="仿宋"/>
          <w:b/>
          <w:bCs/>
          <w:color w:val="auto"/>
          <w:sz w:val="48"/>
          <w:szCs w:val="48"/>
          <w:highlight w:val="none"/>
        </w:rPr>
      </w:pPr>
    </w:p>
    <w:p>
      <w:pPr>
        <w:spacing w:line="360" w:lineRule="auto"/>
        <w:jc w:val="center"/>
        <w:rPr>
          <w:rFonts w:ascii="仿宋" w:hAnsi="仿宋" w:eastAsia="仿宋" w:cs="仿宋"/>
          <w:b/>
          <w:bCs/>
          <w:color w:val="auto"/>
          <w:sz w:val="48"/>
          <w:szCs w:val="48"/>
          <w:highlight w:val="none"/>
        </w:rPr>
      </w:pPr>
      <w:r>
        <w:rPr>
          <w:rFonts w:hint="eastAsia" w:ascii="仿宋" w:hAnsi="仿宋" w:eastAsia="仿宋" w:cs="仿宋"/>
          <w:b/>
          <w:bCs/>
          <w:color w:val="auto"/>
          <w:sz w:val="48"/>
          <w:szCs w:val="48"/>
          <w:highlight w:val="none"/>
        </w:rPr>
        <w:t>古镇口校区青年教师宿舍橱柜</w:t>
      </w:r>
    </w:p>
    <w:p>
      <w:pPr>
        <w:spacing w:line="360" w:lineRule="auto"/>
        <w:jc w:val="center"/>
        <w:rPr>
          <w:rFonts w:ascii="仿宋" w:hAnsi="仿宋" w:eastAsia="仿宋" w:cs="仿宋"/>
          <w:b/>
          <w:bCs/>
          <w:color w:val="auto"/>
          <w:sz w:val="48"/>
          <w:szCs w:val="48"/>
          <w:highlight w:val="none"/>
        </w:rPr>
      </w:pPr>
    </w:p>
    <w:p>
      <w:pPr>
        <w:spacing w:line="360" w:lineRule="auto"/>
        <w:jc w:val="center"/>
        <w:rPr>
          <w:rFonts w:ascii="仿宋" w:hAnsi="仿宋" w:eastAsia="仿宋" w:cs="仿宋"/>
          <w:b/>
          <w:bCs/>
          <w:color w:val="auto"/>
          <w:sz w:val="48"/>
          <w:szCs w:val="48"/>
          <w:highlight w:val="none"/>
        </w:rPr>
      </w:pPr>
    </w:p>
    <w:p>
      <w:pPr>
        <w:spacing w:line="360" w:lineRule="auto"/>
        <w:jc w:val="center"/>
        <w:rPr>
          <w:rFonts w:ascii="仿宋" w:hAnsi="仿宋" w:eastAsia="仿宋" w:cs="仿宋"/>
          <w:b/>
          <w:bCs/>
          <w:color w:val="auto"/>
          <w:sz w:val="48"/>
          <w:szCs w:val="48"/>
          <w:highlight w:val="none"/>
        </w:rPr>
      </w:pPr>
      <w:r>
        <w:rPr>
          <w:rFonts w:hint="eastAsia" w:ascii="仿宋" w:hAnsi="仿宋" w:eastAsia="仿宋" w:cs="仿宋"/>
          <w:b/>
          <w:bCs/>
          <w:color w:val="auto"/>
          <w:sz w:val="48"/>
          <w:szCs w:val="48"/>
          <w:highlight w:val="none"/>
        </w:rPr>
        <w:t>校内招标</w:t>
      </w:r>
      <w:bookmarkEnd w:id="3"/>
      <w:r>
        <w:rPr>
          <w:rFonts w:hint="eastAsia" w:ascii="仿宋" w:hAnsi="仿宋" w:eastAsia="仿宋" w:cs="仿宋"/>
          <w:b/>
          <w:bCs/>
          <w:color w:val="auto"/>
          <w:sz w:val="48"/>
          <w:szCs w:val="48"/>
          <w:highlight w:val="none"/>
        </w:rPr>
        <w:t>文件</w:t>
      </w:r>
    </w:p>
    <w:p>
      <w:pPr>
        <w:spacing w:line="360" w:lineRule="auto"/>
        <w:jc w:val="center"/>
        <w:rPr>
          <w:rFonts w:ascii="仿宋" w:hAnsi="仿宋" w:eastAsia="仿宋" w:cs="仿宋"/>
          <w:b/>
          <w:bCs/>
          <w:color w:val="auto"/>
          <w:sz w:val="48"/>
          <w:szCs w:val="48"/>
          <w:highlight w:val="none"/>
        </w:rPr>
      </w:pPr>
    </w:p>
    <w:p>
      <w:pPr>
        <w:spacing w:line="360" w:lineRule="auto"/>
        <w:ind w:left="2240" w:leftChars="100" w:hanging="1960" w:hangingChars="700"/>
        <w:jc w:val="left"/>
        <w:rPr>
          <w:rFonts w:ascii="仿宋" w:hAnsi="仿宋" w:eastAsia="仿宋" w:cs="仿宋"/>
          <w:color w:val="auto"/>
          <w:highlight w:val="none"/>
        </w:rPr>
      </w:pPr>
    </w:p>
    <w:p>
      <w:pPr>
        <w:spacing w:line="360" w:lineRule="auto"/>
        <w:ind w:left="2240" w:leftChars="100" w:hanging="1960" w:hangingChars="700"/>
        <w:jc w:val="left"/>
        <w:rPr>
          <w:rFonts w:ascii="仿宋" w:hAnsi="仿宋" w:eastAsia="仿宋" w:cs="仿宋"/>
          <w:color w:val="auto"/>
          <w:highlight w:val="none"/>
        </w:rPr>
      </w:pPr>
    </w:p>
    <w:p>
      <w:pPr>
        <w:spacing w:line="360" w:lineRule="auto"/>
        <w:ind w:left="2240" w:leftChars="100" w:hanging="1960" w:hangingChars="700"/>
        <w:jc w:val="left"/>
        <w:rPr>
          <w:rFonts w:ascii="仿宋" w:hAnsi="仿宋" w:eastAsia="仿宋" w:cs="仿宋"/>
          <w:color w:val="auto"/>
          <w:highlight w:val="none"/>
        </w:rPr>
      </w:pPr>
    </w:p>
    <w:p>
      <w:pPr>
        <w:ind w:firstLine="2240" w:firstLineChars="700"/>
        <w:rPr>
          <w:rFonts w:ascii="仿宋" w:hAnsi="仿宋" w:eastAsia="仿宋" w:cs="仿宋"/>
          <w:color w:val="auto"/>
          <w:sz w:val="32"/>
          <w:szCs w:val="32"/>
          <w:highlight w:val="none"/>
          <w:u w:val="single"/>
        </w:rPr>
      </w:pPr>
      <w:r>
        <w:rPr>
          <w:rFonts w:hint="eastAsia" w:ascii="仿宋" w:hAnsi="仿宋" w:eastAsia="仿宋" w:cs="仿宋"/>
          <w:color w:val="auto"/>
          <w:sz w:val="32"/>
          <w:szCs w:val="32"/>
          <w:highlight w:val="none"/>
        </w:rPr>
        <w:t>招 标 人：</w:t>
      </w:r>
      <w:r>
        <w:rPr>
          <w:rFonts w:hint="eastAsia" w:ascii="仿宋" w:hAnsi="仿宋" w:eastAsia="仿宋" w:cs="仿宋"/>
          <w:color w:val="auto"/>
          <w:sz w:val="32"/>
          <w:szCs w:val="32"/>
          <w:highlight w:val="none"/>
          <w:u w:val="single"/>
        </w:rPr>
        <w:t>中国石油大学(华东)</w:t>
      </w:r>
    </w:p>
    <w:p>
      <w:pPr>
        <w:ind w:firstLine="2240" w:firstLineChars="700"/>
        <w:rPr>
          <w:rFonts w:ascii="仿宋" w:hAnsi="仿宋" w:eastAsia="仿宋" w:cs="仿宋"/>
          <w:color w:val="auto"/>
          <w:sz w:val="32"/>
          <w:szCs w:val="32"/>
          <w:highlight w:val="none"/>
          <w:u w:val="single"/>
        </w:rPr>
      </w:pPr>
      <w:r>
        <w:rPr>
          <w:rFonts w:hint="eastAsia" w:ascii="仿宋" w:hAnsi="仿宋" w:eastAsia="仿宋" w:cs="仿宋"/>
          <w:color w:val="auto"/>
          <w:sz w:val="32"/>
          <w:szCs w:val="32"/>
          <w:highlight w:val="none"/>
        </w:rPr>
        <w:t>招标代理机构：</w:t>
      </w:r>
      <w:r>
        <w:rPr>
          <w:rFonts w:hint="eastAsia" w:ascii="仿宋" w:hAnsi="仿宋" w:eastAsia="仿宋" w:cs="仿宋"/>
          <w:color w:val="auto"/>
          <w:sz w:val="32"/>
          <w:szCs w:val="32"/>
          <w:highlight w:val="none"/>
          <w:u w:val="single"/>
        </w:rPr>
        <w:t>山东盛和招标代理有限公司</w:t>
      </w:r>
    </w:p>
    <w:p>
      <w:pPr>
        <w:ind w:firstLine="2240" w:firstLineChars="700"/>
        <w:rPr>
          <w:rFonts w:ascii="仿宋" w:hAnsi="仿宋" w:eastAsia="仿宋" w:cs="仿宋"/>
          <w:color w:val="auto"/>
          <w:sz w:val="32"/>
          <w:szCs w:val="32"/>
          <w:highlight w:val="none"/>
          <w:u w:val="single"/>
        </w:rPr>
      </w:pPr>
      <w:r>
        <w:rPr>
          <w:rFonts w:hint="eastAsia" w:ascii="仿宋" w:hAnsi="仿宋" w:eastAsia="仿宋" w:cs="仿宋"/>
          <w:color w:val="auto"/>
          <w:sz w:val="32"/>
          <w:szCs w:val="32"/>
          <w:highlight w:val="none"/>
        </w:rPr>
        <w:t>项目编号：</w:t>
      </w:r>
      <w:r>
        <w:rPr>
          <w:rFonts w:hint="eastAsia" w:ascii="仿宋" w:hAnsi="仿宋" w:eastAsia="仿宋" w:cs="仿宋"/>
          <w:color w:val="auto"/>
          <w:sz w:val="32"/>
          <w:szCs w:val="32"/>
          <w:highlight w:val="none"/>
          <w:u w:val="single"/>
        </w:rPr>
        <w:t xml:space="preserve">SHSDZB2022-017 </w:t>
      </w:r>
    </w:p>
    <w:p>
      <w:pPr>
        <w:ind w:firstLine="2240" w:firstLineChars="700"/>
        <w:rPr>
          <w:rFonts w:ascii="仿宋" w:hAnsi="仿宋" w:eastAsia="仿宋" w:cs="仿宋"/>
          <w:color w:val="auto"/>
          <w:sz w:val="32"/>
          <w:szCs w:val="32"/>
          <w:highlight w:val="none"/>
          <w:u w:val="single"/>
        </w:rPr>
      </w:pPr>
      <w:r>
        <w:rPr>
          <w:rFonts w:hint="eastAsia" w:ascii="仿宋" w:hAnsi="仿宋" w:eastAsia="仿宋" w:cs="仿宋"/>
          <w:color w:val="auto"/>
          <w:sz w:val="32"/>
          <w:szCs w:val="32"/>
          <w:highlight w:val="none"/>
        </w:rPr>
        <w:t>日    期：</w:t>
      </w:r>
      <w:r>
        <w:rPr>
          <w:rFonts w:hint="eastAsia" w:ascii="仿宋" w:hAnsi="仿宋" w:eastAsia="仿宋" w:cs="仿宋"/>
          <w:color w:val="auto"/>
          <w:sz w:val="32"/>
          <w:szCs w:val="32"/>
          <w:highlight w:val="none"/>
          <w:u w:val="single"/>
          <w:lang w:eastAsia="zh-CN"/>
        </w:rPr>
        <w:t>2022年10月</w:t>
      </w:r>
      <w:r>
        <w:rPr>
          <w:rFonts w:hint="eastAsia" w:ascii="仿宋" w:hAnsi="仿宋" w:eastAsia="仿宋" w:cs="仿宋"/>
          <w:color w:val="auto"/>
          <w:sz w:val="32"/>
          <w:szCs w:val="32"/>
          <w:highlight w:val="none"/>
          <w:u w:val="single"/>
        </w:rPr>
        <w:t xml:space="preserve"> </w:t>
      </w:r>
      <w:r>
        <w:rPr>
          <w:rFonts w:ascii="仿宋" w:hAnsi="仿宋" w:eastAsia="仿宋" w:cs="仿宋"/>
          <w:color w:val="auto"/>
          <w:sz w:val="32"/>
          <w:szCs w:val="32"/>
          <w:highlight w:val="none"/>
          <w:u w:val="single"/>
        </w:rPr>
        <w:t xml:space="preserve">    </w:t>
      </w:r>
    </w:p>
    <w:p>
      <w:pPr>
        <w:pStyle w:val="27"/>
        <w:rPr>
          <w:color w:val="auto"/>
          <w:highlight w:val="none"/>
        </w:rPr>
      </w:pPr>
    </w:p>
    <w:p>
      <w:pPr>
        <w:rPr>
          <w:color w:val="auto"/>
          <w:highlight w:val="none"/>
        </w:rPr>
      </w:pPr>
    </w:p>
    <w:p>
      <w:pPr>
        <w:pStyle w:val="27"/>
        <w:rPr>
          <w:color w:val="auto"/>
          <w:highlight w:val="none"/>
        </w:rPr>
      </w:pPr>
    </w:p>
    <w:p>
      <w:pPr>
        <w:rPr>
          <w:rFonts w:ascii="仿宋" w:hAnsi="仿宋" w:eastAsia="仿宋" w:cs="仿宋"/>
          <w:color w:val="auto"/>
          <w:sz w:val="36"/>
          <w:szCs w:val="36"/>
          <w:highlight w:val="none"/>
          <w:lang w:val="zh-CN"/>
        </w:rPr>
      </w:pPr>
      <w:r>
        <w:rPr>
          <w:rFonts w:hint="eastAsia" w:ascii="仿宋" w:hAnsi="仿宋" w:eastAsia="仿宋" w:cs="仿宋"/>
          <w:color w:val="auto"/>
          <w:sz w:val="36"/>
          <w:szCs w:val="36"/>
          <w:highlight w:val="none"/>
          <w:lang w:val="zh-CN"/>
        </w:rPr>
        <w:br w:type="page"/>
      </w:r>
    </w:p>
    <w:p>
      <w:pPr>
        <w:jc w:val="center"/>
        <w:rPr>
          <w:rFonts w:ascii="仿宋" w:hAnsi="仿宋" w:eastAsia="仿宋" w:cs="仿宋"/>
          <w:color w:val="auto"/>
          <w:sz w:val="36"/>
          <w:szCs w:val="36"/>
          <w:highlight w:val="none"/>
          <w:lang w:val="zh-CN"/>
        </w:rPr>
      </w:pPr>
      <w:r>
        <w:rPr>
          <w:rFonts w:hint="eastAsia" w:ascii="仿宋" w:hAnsi="仿宋" w:eastAsia="仿宋" w:cs="仿宋"/>
          <w:color w:val="auto"/>
          <w:sz w:val="36"/>
          <w:szCs w:val="36"/>
          <w:highlight w:val="none"/>
          <w:lang w:val="zh-CN"/>
        </w:rPr>
        <w:t>目录</w:t>
      </w:r>
    </w:p>
    <w:p>
      <w:pPr>
        <w:pStyle w:val="27"/>
        <w:tabs>
          <w:tab w:val="right" w:leader="dot" w:pos="9746"/>
        </w:tabs>
        <w:rPr>
          <w:color w:val="auto"/>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TOC \o "1-3" \h \z \u </w:instrText>
      </w:r>
      <w:r>
        <w:rPr>
          <w:rFonts w:hint="eastAsia" w:ascii="仿宋" w:hAnsi="仿宋" w:eastAsia="仿宋" w:cs="仿宋"/>
          <w:color w:val="auto"/>
          <w:highlight w:val="none"/>
        </w:rPr>
        <w:fldChar w:fldCharType="separate"/>
      </w:r>
      <w:r>
        <w:rPr>
          <w:color w:val="auto"/>
          <w:highlight w:val="none"/>
        </w:rPr>
        <w:fldChar w:fldCharType="begin"/>
      </w:r>
      <w:r>
        <w:rPr>
          <w:color w:val="auto"/>
          <w:highlight w:val="none"/>
        </w:rPr>
        <w:instrText xml:space="preserve"> HYPERLINK \l "_Toc27353" </w:instrText>
      </w:r>
      <w:r>
        <w:rPr>
          <w:color w:val="auto"/>
          <w:highlight w:val="none"/>
        </w:rPr>
        <w:fldChar w:fldCharType="separate"/>
      </w:r>
      <w:r>
        <w:rPr>
          <w:rFonts w:hint="eastAsia" w:ascii="仿宋" w:hAnsi="仿宋" w:eastAsia="仿宋" w:cs="仿宋"/>
          <w:color w:val="auto"/>
          <w:szCs w:val="36"/>
          <w:highlight w:val="none"/>
        </w:rPr>
        <w:t>第一部分 投标邀请</w:t>
      </w:r>
      <w:r>
        <w:rPr>
          <w:color w:val="auto"/>
          <w:highlight w:val="none"/>
        </w:rPr>
        <w:tab/>
      </w:r>
      <w:r>
        <w:rPr>
          <w:color w:val="auto"/>
          <w:highlight w:val="none"/>
        </w:rPr>
        <w:fldChar w:fldCharType="begin"/>
      </w:r>
      <w:r>
        <w:rPr>
          <w:color w:val="auto"/>
          <w:highlight w:val="none"/>
        </w:rPr>
        <w:instrText xml:space="preserve"> PAGEREF _Toc27353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pPr>
        <w:pStyle w:val="27"/>
        <w:tabs>
          <w:tab w:val="right" w:leader="dot" w:pos="9746"/>
        </w:tabs>
        <w:rPr>
          <w:color w:val="auto"/>
          <w:highlight w:val="none"/>
        </w:rPr>
      </w:pPr>
      <w:r>
        <w:rPr>
          <w:color w:val="auto"/>
          <w:highlight w:val="none"/>
        </w:rPr>
        <w:fldChar w:fldCharType="begin"/>
      </w:r>
      <w:r>
        <w:rPr>
          <w:color w:val="auto"/>
          <w:highlight w:val="none"/>
        </w:rPr>
        <w:instrText xml:space="preserve"> HYPERLINK \l "_Toc31247" </w:instrText>
      </w:r>
      <w:r>
        <w:rPr>
          <w:color w:val="auto"/>
          <w:highlight w:val="none"/>
        </w:rPr>
        <w:fldChar w:fldCharType="separate"/>
      </w:r>
      <w:r>
        <w:rPr>
          <w:rFonts w:hint="eastAsia" w:ascii="仿宋" w:hAnsi="仿宋" w:eastAsia="仿宋" w:cs="仿宋"/>
          <w:color w:val="auto"/>
          <w:szCs w:val="36"/>
          <w:highlight w:val="none"/>
        </w:rPr>
        <w:t>第二部分 投标人须知</w:t>
      </w:r>
      <w:r>
        <w:rPr>
          <w:color w:val="auto"/>
          <w:highlight w:val="none"/>
        </w:rPr>
        <w:tab/>
      </w:r>
      <w:r>
        <w:rPr>
          <w:color w:val="auto"/>
          <w:highlight w:val="none"/>
        </w:rPr>
        <w:fldChar w:fldCharType="begin"/>
      </w:r>
      <w:r>
        <w:rPr>
          <w:color w:val="auto"/>
          <w:highlight w:val="none"/>
        </w:rPr>
        <w:instrText xml:space="preserve"> PAGEREF _Toc31247 \h </w:instrText>
      </w:r>
      <w:r>
        <w:rPr>
          <w:color w:val="auto"/>
          <w:highlight w:val="none"/>
        </w:rPr>
        <w:fldChar w:fldCharType="separate"/>
      </w:r>
      <w:r>
        <w:rPr>
          <w:color w:val="auto"/>
          <w:highlight w:val="none"/>
        </w:rPr>
        <w:t>6</w:t>
      </w:r>
      <w:r>
        <w:rPr>
          <w:color w:val="auto"/>
          <w:highlight w:val="none"/>
        </w:rPr>
        <w:fldChar w:fldCharType="end"/>
      </w:r>
      <w:r>
        <w:rPr>
          <w:color w:val="auto"/>
          <w:highlight w:val="none"/>
        </w:rPr>
        <w:fldChar w:fldCharType="end"/>
      </w:r>
    </w:p>
    <w:p>
      <w:pPr>
        <w:pStyle w:val="27"/>
        <w:tabs>
          <w:tab w:val="right" w:leader="dot" w:pos="9746"/>
        </w:tabs>
        <w:ind w:firstLine="280" w:firstLineChars="100"/>
        <w:rPr>
          <w:color w:val="auto"/>
          <w:highlight w:val="none"/>
        </w:rPr>
      </w:pPr>
      <w:r>
        <w:rPr>
          <w:color w:val="auto"/>
          <w:highlight w:val="none"/>
        </w:rPr>
        <w:fldChar w:fldCharType="begin"/>
      </w:r>
      <w:r>
        <w:rPr>
          <w:color w:val="auto"/>
          <w:highlight w:val="none"/>
        </w:rPr>
        <w:instrText xml:space="preserve"> HYPERLINK \l "_Toc10075" </w:instrText>
      </w:r>
      <w:r>
        <w:rPr>
          <w:color w:val="auto"/>
          <w:highlight w:val="none"/>
        </w:rPr>
        <w:fldChar w:fldCharType="separate"/>
      </w:r>
      <w:r>
        <w:rPr>
          <w:rFonts w:hint="eastAsia" w:ascii="仿宋" w:hAnsi="仿宋" w:eastAsia="仿宋" w:cs="仿宋"/>
          <w:color w:val="auto"/>
          <w:szCs w:val="30"/>
          <w:highlight w:val="none"/>
        </w:rPr>
        <w:t>一、招标说明</w:t>
      </w:r>
      <w:r>
        <w:rPr>
          <w:color w:val="auto"/>
          <w:highlight w:val="none"/>
        </w:rPr>
        <w:tab/>
      </w:r>
      <w:r>
        <w:rPr>
          <w:color w:val="auto"/>
          <w:highlight w:val="none"/>
        </w:rPr>
        <w:fldChar w:fldCharType="begin"/>
      </w:r>
      <w:r>
        <w:rPr>
          <w:color w:val="auto"/>
          <w:highlight w:val="none"/>
        </w:rPr>
        <w:instrText xml:space="preserve"> PAGEREF _Toc10075 \h </w:instrText>
      </w:r>
      <w:r>
        <w:rPr>
          <w:color w:val="auto"/>
          <w:highlight w:val="none"/>
        </w:rPr>
        <w:fldChar w:fldCharType="separate"/>
      </w:r>
      <w:r>
        <w:rPr>
          <w:color w:val="auto"/>
          <w:highlight w:val="none"/>
        </w:rPr>
        <w:t>6</w:t>
      </w:r>
      <w:r>
        <w:rPr>
          <w:color w:val="auto"/>
          <w:highlight w:val="none"/>
        </w:rPr>
        <w:fldChar w:fldCharType="end"/>
      </w:r>
      <w:r>
        <w:rPr>
          <w:color w:val="auto"/>
          <w:highlight w:val="none"/>
        </w:rPr>
        <w:fldChar w:fldCharType="end"/>
      </w:r>
    </w:p>
    <w:p>
      <w:pPr>
        <w:pStyle w:val="27"/>
        <w:tabs>
          <w:tab w:val="right" w:leader="dot" w:pos="9746"/>
        </w:tabs>
        <w:ind w:firstLine="280" w:firstLineChars="100"/>
        <w:rPr>
          <w:color w:val="auto"/>
          <w:highlight w:val="none"/>
        </w:rPr>
      </w:pPr>
      <w:r>
        <w:rPr>
          <w:color w:val="auto"/>
          <w:highlight w:val="none"/>
        </w:rPr>
        <w:fldChar w:fldCharType="begin"/>
      </w:r>
      <w:r>
        <w:rPr>
          <w:color w:val="auto"/>
          <w:highlight w:val="none"/>
        </w:rPr>
        <w:instrText xml:space="preserve"> HYPERLINK \l "_Toc8090" </w:instrText>
      </w:r>
      <w:r>
        <w:rPr>
          <w:color w:val="auto"/>
          <w:highlight w:val="none"/>
        </w:rPr>
        <w:fldChar w:fldCharType="separate"/>
      </w:r>
      <w:r>
        <w:rPr>
          <w:rFonts w:hint="eastAsia" w:ascii="仿宋" w:hAnsi="仿宋" w:eastAsia="仿宋" w:cs="仿宋"/>
          <w:color w:val="auto"/>
          <w:szCs w:val="30"/>
          <w:highlight w:val="none"/>
        </w:rPr>
        <w:t>二、定义及解释</w:t>
      </w:r>
      <w:r>
        <w:rPr>
          <w:color w:val="auto"/>
          <w:highlight w:val="none"/>
        </w:rPr>
        <w:tab/>
      </w:r>
      <w:r>
        <w:rPr>
          <w:color w:val="auto"/>
          <w:highlight w:val="none"/>
        </w:rPr>
        <w:fldChar w:fldCharType="begin"/>
      </w:r>
      <w:r>
        <w:rPr>
          <w:color w:val="auto"/>
          <w:highlight w:val="none"/>
        </w:rPr>
        <w:instrText xml:space="preserve"> PAGEREF _Toc8090 \h </w:instrText>
      </w:r>
      <w:r>
        <w:rPr>
          <w:color w:val="auto"/>
          <w:highlight w:val="none"/>
        </w:rPr>
        <w:fldChar w:fldCharType="separate"/>
      </w:r>
      <w:r>
        <w:rPr>
          <w:color w:val="auto"/>
          <w:highlight w:val="none"/>
        </w:rPr>
        <w:t>6</w:t>
      </w:r>
      <w:r>
        <w:rPr>
          <w:color w:val="auto"/>
          <w:highlight w:val="none"/>
        </w:rPr>
        <w:fldChar w:fldCharType="end"/>
      </w:r>
      <w:r>
        <w:rPr>
          <w:color w:val="auto"/>
          <w:highlight w:val="none"/>
        </w:rPr>
        <w:fldChar w:fldCharType="end"/>
      </w:r>
    </w:p>
    <w:p>
      <w:pPr>
        <w:pStyle w:val="27"/>
        <w:tabs>
          <w:tab w:val="right" w:leader="dot" w:pos="9746"/>
        </w:tabs>
        <w:ind w:firstLine="280" w:firstLineChars="100"/>
        <w:rPr>
          <w:color w:val="auto"/>
          <w:highlight w:val="none"/>
        </w:rPr>
      </w:pPr>
      <w:r>
        <w:rPr>
          <w:color w:val="auto"/>
          <w:highlight w:val="none"/>
        </w:rPr>
        <w:fldChar w:fldCharType="begin"/>
      </w:r>
      <w:r>
        <w:rPr>
          <w:color w:val="auto"/>
          <w:highlight w:val="none"/>
        </w:rPr>
        <w:instrText xml:space="preserve"> HYPERLINK \l "_Toc17321" </w:instrText>
      </w:r>
      <w:r>
        <w:rPr>
          <w:color w:val="auto"/>
          <w:highlight w:val="none"/>
        </w:rPr>
        <w:fldChar w:fldCharType="separate"/>
      </w:r>
      <w:r>
        <w:rPr>
          <w:rFonts w:hint="eastAsia" w:ascii="仿宋" w:hAnsi="仿宋" w:eastAsia="仿宋" w:cs="仿宋"/>
          <w:color w:val="auto"/>
          <w:szCs w:val="30"/>
          <w:highlight w:val="none"/>
        </w:rPr>
        <w:t>三、合格投标人</w:t>
      </w:r>
      <w:r>
        <w:rPr>
          <w:color w:val="auto"/>
          <w:highlight w:val="none"/>
        </w:rPr>
        <w:tab/>
      </w:r>
      <w:r>
        <w:rPr>
          <w:color w:val="auto"/>
          <w:highlight w:val="none"/>
        </w:rPr>
        <w:fldChar w:fldCharType="begin"/>
      </w:r>
      <w:r>
        <w:rPr>
          <w:color w:val="auto"/>
          <w:highlight w:val="none"/>
        </w:rPr>
        <w:instrText xml:space="preserve"> PAGEREF _Toc17321 \h </w:instrText>
      </w:r>
      <w:r>
        <w:rPr>
          <w:color w:val="auto"/>
          <w:highlight w:val="none"/>
        </w:rPr>
        <w:fldChar w:fldCharType="separate"/>
      </w:r>
      <w:r>
        <w:rPr>
          <w:color w:val="auto"/>
          <w:highlight w:val="none"/>
        </w:rPr>
        <w:t>7</w:t>
      </w:r>
      <w:r>
        <w:rPr>
          <w:color w:val="auto"/>
          <w:highlight w:val="none"/>
        </w:rPr>
        <w:fldChar w:fldCharType="end"/>
      </w:r>
      <w:r>
        <w:rPr>
          <w:color w:val="auto"/>
          <w:highlight w:val="none"/>
        </w:rPr>
        <w:fldChar w:fldCharType="end"/>
      </w:r>
    </w:p>
    <w:p>
      <w:pPr>
        <w:pStyle w:val="27"/>
        <w:tabs>
          <w:tab w:val="right" w:leader="dot" w:pos="9746"/>
        </w:tabs>
        <w:ind w:firstLine="280" w:firstLineChars="100"/>
        <w:rPr>
          <w:color w:val="auto"/>
          <w:highlight w:val="none"/>
        </w:rPr>
      </w:pPr>
      <w:r>
        <w:rPr>
          <w:color w:val="auto"/>
          <w:highlight w:val="none"/>
        </w:rPr>
        <w:fldChar w:fldCharType="begin"/>
      </w:r>
      <w:r>
        <w:rPr>
          <w:color w:val="auto"/>
          <w:highlight w:val="none"/>
        </w:rPr>
        <w:instrText xml:space="preserve"> HYPERLINK \l "_Toc18825" </w:instrText>
      </w:r>
      <w:r>
        <w:rPr>
          <w:color w:val="auto"/>
          <w:highlight w:val="none"/>
        </w:rPr>
        <w:fldChar w:fldCharType="separate"/>
      </w:r>
      <w:r>
        <w:rPr>
          <w:rFonts w:hint="eastAsia" w:ascii="仿宋" w:hAnsi="仿宋" w:eastAsia="仿宋" w:cs="仿宋"/>
          <w:color w:val="auto"/>
          <w:szCs w:val="30"/>
          <w:highlight w:val="none"/>
        </w:rPr>
        <w:t>四、招标文件的澄清或修改</w:t>
      </w:r>
      <w:r>
        <w:rPr>
          <w:color w:val="auto"/>
          <w:highlight w:val="none"/>
        </w:rPr>
        <w:tab/>
      </w:r>
      <w:r>
        <w:rPr>
          <w:color w:val="auto"/>
          <w:highlight w:val="none"/>
        </w:rPr>
        <w:fldChar w:fldCharType="begin"/>
      </w:r>
      <w:r>
        <w:rPr>
          <w:color w:val="auto"/>
          <w:highlight w:val="none"/>
        </w:rPr>
        <w:instrText xml:space="preserve"> PAGEREF _Toc18825 \h </w:instrText>
      </w:r>
      <w:r>
        <w:rPr>
          <w:color w:val="auto"/>
          <w:highlight w:val="none"/>
        </w:rPr>
        <w:fldChar w:fldCharType="separate"/>
      </w:r>
      <w:r>
        <w:rPr>
          <w:color w:val="auto"/>
          <w:highlight w:val="none"/>
        </w:rPr>
        <w:t>7</w:t>
      </w:r>
      <w:r>
        <w:rPr>
          <w:color w:val="auto"/>
          <w:highlight w:val="none"/>
        </w:rPr>
        <w:fldChar w:fldCharType="end"/>
      </w:r>
      <w:r>
        <w:rPr>
          <w:color w:val="auto"/>
          <w:highlight w:val="none"/>
        </w:rPr>
        <w:fldChar w:fldCharType="end"/>
      </w:r>
    </w:p>
    <w:p>
      <w:pPr>
        <w:pStyle w:val="27"/>
        <w:tabs>
          <w:tab w:val="right" w:leader="dot" w:pos="9746"/>
        </w:tabs>
        <w:ind w:firstLine="280" w:firstLineChars="100"/>
        <w:rPr>
          <w:color w:val="auto"/>
          <w:highlight w:val="none"/>
        </w:rPr>
      </w:pPr>
      <w:r>
        <w:rPr>
          <w:color w:val="auto"/>
          <w:highlight w:val="none"/>
        </w:rPr>
        <w:fldChar w:fldCharType="begin"/>
      </w:r>
      <w:r>
        <w:rPr>
          <w:color w:val="auto"/>
          <w:highlight w:val="none"/>
        </w:rPr>
        <w:instrText xml:space="preserve"> HYPERLINK \l "_Toc22640" </w:instrText>
      </w:r>
      <w:r>
        <w:rPr>
          <w:color w:val="auto"/>
          <w:highlight w:val="none"/>
        </w:rPr>
        <w:fldChar w:fldCharType="separate"/>
      </w:r>
      <w:r>
        <w:rPr>
          <w:rFonts w:hint="eastAsia" w:ascii="仿宋" w:hAnsi="仿宋" w:eastAsia="仿宋" w:cs="仿宋"/>
          <w:color w:val="auto"/>
          <w:szCs w:val="30"/>
          <w:highlight w:val="none"/>
        </w:rPr>
        <w:t>五、投标文件的编制与提交</w:t>
      </w:r>
      <w:r>
        <w:rPr>
          <w:color w:val="auto"/>
          <w:highlight w:val="none"/>
        </w:rPr>
        <w:tab/>
      </w:r>
      <w:r>
        <w:rPr>
          <w:color w:val="auto"/>
          <w:highlight w:val="none"/>
        </w:rPr>
        <w:fldChar w:fldCharType="begin"/>
      </w:r>
      <w:r>
        <w:rPr>
          <w:color w:val="auto"/>
          <w:highlight w:val="none"/>
        </w:rPr>
        <w:instrText xml:space="preserve"> PAGEREF _Toc22640 \h </w:instrText>
      </w:r>
      <w:r>
        <w:rPr>
          <w:color w:val="auto"/>
          <w:highlight w:val="none"/>
        </w:rPr>
        <w:fldChar w:fldCharType="separate"/>
      </w:r>
      <w:r>
        <w:rPr>
          <w:color w:val="auto"/>
          <w:highlight w:val="none"/>
        </w:rPr>
        <w:t>7</w:t>
      </w:r>
      <w:r>
        <w:rPr>
          <w:color w:val="auto"/>
          <w:highlight w:val="none"/>
        </w:rPr>
        <w:fldChar w:fldCharType="end"/>
      </w:r>
      <w:r>
        <w:rPr>
          <w:color w:val="auto"/>
          <w:highlight w:val="none"/>
        </w:rPr>
        <w:fldChar w:fldCharType="end"/>
      </w:r>
    </w:p>
    <w:p>
      <w:pPr>
        <w:pStyle w:val="27"/>
        <w:tabs>
          <w:tab w:val="right" w:leader="dot" w:pos="9746"/>
        </w:tabs>
        <w:ind w:firstLine="280" w:firstLineChars="100"/>
        <w:rPr>
          <w:color w:val="auto"/>
          <w:highlight w:val="none"/>
        </w:rPr>
      </w:pPr>
      <w:r>
        <w:rPr>
          <w:color w:val="auto"/>
          <w:highlight w:val="none"/>
        </w:rPr>
        <w:fldChar w:fldCharType="begin"/>
      </w:r>
      <w:r>
        <w:rPr>
          <w:color w:val="auto"/>
          <w:highlight w:val="none"/>
        </w:rPr>
        <w:instrText xml:space="preserve"> HYPERLINK \l "_Toc9751" </w:instrText>
      </w:r>
      <w:r>
        <w:rPr>
          <w:color w:val="auto"/>
          <w:highlight w:val="none"/>
        </w:rPr>
        <w:fldChar w:fldCharType="separate"/>
      </w:r>
      <w:r>
        <w:rPr>
          <w:rFonts w:hint="eastAsia" w:ascii="仿宋" w:hAnsi="仿宋" w:eastAsia="仿宋" w:cs="仿宋"/>
          <w:color w:val="auto"/>
          <w:szCs w:val="30"/>
          <w:highlight w:val="none"/>
        </w:rPr>
        <w:t>六、投标有效期</w:t>
      </w:r>
      <w:r>
        <w:rPr>
          <w:color w:val="auto"/>
          <w:highlight w:val="none"/>
        </w:rPr>
        <w:tab/>
      </w:r>
      <w:r>
        <w:rPr>
          <w:color w:val="auto"/>
          <w:highlight w:val="none"/>
        </w:rPr>
        <w:fldChar w:fldCharType="begin"/>
      </w:r>
      <w:r>
        <w:rPr>
          <w:color w:val="auto"/>
          <w:highlight w:val="none"/>
        </w:rPr>
        <w:instrText xml:space="preserve"> PAGEREF _Toc9751 \h </w:instrText>
      </w:r>
      <w:r>
        <w:rPr>
          <w:color w:val="auto"/>
          <w:highlight w:val="none"/>
        </w:rPr>
        <w:fldChar w:fldCharType="separate"/>
      </w:r>
      <w:r>
        <w:rPr>
          <w:color w:val="auto"/>
          <w:highlight w:val="none"/>
        </w:rPr>
        <w:t>10</w:t>
      </w:r>
      <w:r>
        <w:rPr>
          <w:color w:val="auto"/>
          <w:highlight w:val="none"/>
        </w:rPr>
        <w:fldChar w:fldCharType="end"/>
      </w:r>
      <w:r>
        <w:rPr>
          <w:color w:val="auto"/>
          <w:highlight w:val="none"/>
        </w:rPr>
        <w:fldChar w:fldCharType="end"/>
      </w:r>
    </w:p>
    <w:p>
      <w:pPr>
        <w:pStyle w:val="27"/>
        <w:tabs>
          <w:tab w:val="right" w:leader="dot" w:pos="9746"/>
        </w:tabs>
        <w:ind w:firstLine="280" w:firstLineChars="100"/>
        <w:rPr>
          <w:color w:val="auto"/>
          <w:highlight w:val="none"/>
        </w:rPr>
      </w:pPr>
      <w:r>
        <w:rPr>
          <w:color w:val="auto"/>
          <w:highlight w:val="none"/>
        </w:rPr>
        <w:fldChar w:fldCharType="begin"/>
      </w:r>
      <w:r>
        <w:rPr>
          <w:color w:val="auto"/>
          <w:highlight w:val="none"/>
        </w:rPr>
        <w:instrText xml:space="preserve"> HYPERLINK \l "_Toc31291" </w:instrText>
      </w:r>
      <w:r>
        <w:rPr>
          <w:color w:val="auto"/>
          <w:highlight w:val="none"/>
        </w:rPr>
        <w:fldChar w:fldCharType="separate"/>
      </w:r>
      <w:r>
        <w:rPr>
          <w:rFonts w:hint="eastAsia" w:ascii="仿宋" w:hAnsi="仿宋" w:eastAsia="仿宋" w:cs="仿宋"/>
          <w:color w:val="auto"/>
          <w:szCs w:val="30"/>
          <w:highlight w:val="none"/>
        </w:rPr>
        <w:t>七、投标费用</w:t>
      </w:r>
      <w:r>
        <w:rPr>
          <w:color w:val="auto"/>
          <w:highlight w:val="none"/>
        </w:rPr>
        <w:tab/>
      </w:r>
      <w:r>
        <w:rPr>
          <w:color w:val="auto"/>
          <w:highlight w:val="none"/>
        </w:rPr>
        <w:fldChar w:fldCharType="begin"/>
      </w:r>
      <w:r>
        <w:rPr>
          <w:color w:val="auto"/>
          <w:highlight w:val="none"/>
        </w:rPr>
        <w:instrText xml:space="preserve"> PAGEREF _Toc31291 \h </w:instrText>
      </w:r>
      <w:r>
        <w:rPr>
          <w:color w:val="auto"/>
          <w:highlight w:val="none"/>
        </w:rPr>
        <w:fldChar w:fldCharType="separate"/>
      </w:r>
      <w:r>
        <w:rPr>
          <w:color w:val="auto"/>
          <w:highlight w:val="none"/>
        </w:rPr>
        <w:t>10</w:t>
      </w:r>
      <w:r>
        <w:rPr>
          <w:color w:val="auto"/>
          <w:highlight w:val="none"/>
        </w:rPr>
        <w:fldChar w:fldCharType="end"/>
      </w:r>
      <w:r>
        <w:rPr>
          <w:color w:val="auto"/>
          <w:highlight w:val="none"/>
        </w:rPr>
        <w:fldChar w:fldCharType="end"/>
      </w:r>
    </w:p>
    <w:p>
      <w:pPr>
        <w:pStyle w:val="27"/>
        <w:tabs>
          <w:tab w:val="right" w:leader="dot" w:pos="9746"/>
        </w:tabs>
        <w:ind w:firstLine="280" w:firstLineChars="100"/>
        <w:rPr>
          <w:color w:val="auto"/>
          <w:highlight w:val="none"/>
        </w:rPr>
      </w:pPr>
      <w:r>
        <w:rPr>
          <w:color w:val="auto"/>
          <w:highlight w:val="none"/>
        </w:rPr>
        <w:fldChar w:fldCharType="begin"/>
      </w:r>
      <w:r>
        <w:rPr>
          <w:color w:val="auto"/>
          <w:highlight w:val="none"/>
        </w:rPr>
        <w:instrText xml:space="preserve"> HYPERLINK \l "_Toc503" </w:instrText>
      </w:r>
      <w:r>
        <w:rPr>
          <w:color w:val="auto"/>
          <w:highlight w:val="none"/>
        </w:rPr>
        <w:fldChar w:fldCharType="separate"/>
      </w:r>
      <w:r>
        <w:rPr>
          <w:rFonts w:hint="eastAsia" w:ascii="仿宋" w:hAnsi="仿宋" w:eastAsia="仿宋" w:cs="仿宋"/>
          <w:color w:val="auto"/>
          <w:szCs w:val="30"/>
          <w:highlight w:val="none"/>
        </w:rPr>
        <w:t>八、投标保证金</w:t>
      </w:r>
      <w:r>
        <w:rPr>
          <w:color w:val="auto"/>
          <w:highlight w:val="none"/>
        </w:rPr>
        <w:tab/>
      </w:r>
      <w:r>
        <w:rPr>
          <w:color w:val="auto"/>
          <w:highlight w:val="none"/>
        </w:rPr>
        <w:fldChar w:fldCharType="begin"/>
      </w:r>
      <w:r>
        <w:rPr>
          <w:color w:val="auto"/>
          <w:highlight w:val="none"/>
        </w:rPr>
        <w:instrText xml:space="preserve"> PAGEREF _Toc503 \h </w:instrText>
      </w:r>
      <w:r>
        <w:rPr>
          <w:color w:val="auto"/>
          <w:highlight w:val="none"/>
        </w:rPr>
        <w:fldChar w:fldCharType="separate"/>
      </w:r>
      <w:r>
        <w:rPr>
          <w:color w:val="auto"/>
          <w:highlight w:val="none"/>
        </w:rPr>
        <w:t>10</w:t>
      </w:r>
      <w:r>
        <w:rPr>
          <w:color w:val="auto"/>
          <w:highlight w:val="none"/>
        </w:rPr>
        <w:fldChar w:fldCharType="end"/>
      </w:r>
      <w:r>
        <w:rPr>
          <w:color w:val="auto"/>
          <w:highlight w:val="none"/>
        </w:rPr>
        <w:fldChar w:fldCharType="end"/>
      </w:r>
    </w:p>
    <w:p>
      <w:pPr>
        <w:pStyle w:val="27"/>
        <w:tabs>
          <w:tab w:val="right" w:leader="dot" w:pos="9746"/>
        </w:tabs>
        <w:ind w:firstLine="280" w:firstLineChars="100"/>
        <w:rPr>
          <w:color w:val="auto"/>
          <w:highlight w:val="none"/>
        </w:rPr>
      </w:pPr>
      <w:r>
        <w:rPr>
          <w:color w:val="auto"/>
          <w:highlight w:val="none"/>
        </w:rPr>
        <w:fldChar w:fldCharType="begin"/>
      </w:r>
      <w:r>
        <w:rPr>
          <w:color w:val="auto"/>
          <w:highlight w:val="none"/>
        </w:rPr>
        <w:instrText xml:space="preserve"> HYPERLINK \l "_Toc27642" </w:instrText>
      </w:r>
      <w:r>
        <w:rPr>
          <w:color w:val="auto"/>
          <w:highlight w:val="none"/>
        </w:rPr>
        <w:fldChar w:fldCharType="separate"/>
      </w:r>
      <w:r>
        <w:rPr>
          <w:rFonts w:hint="eastAsia" w:ascii="仿宋" w:hAnsi="仿宋" w:eastAsia="仿宋" w:cs="仿宋"/>
          <w:color w:val="auto"/>
          <w:szCs w:val="30"/>
          <w:highlight w:val="none"/>
        </w:rPr>
        <w:t>九、投标无效</w:t>
      </w:r>
      <w:r>
        <w:rPr>
          <w:color w:val="auto"/>
          <w:highlight w:val="none"/>
        </w:rPr>
        <w:tab/>
      </w:r>
      <w:r>
        <w:rPr>
          <w:color w:val="auto"/>
          <w:highlight w:val="none"/>
        </w:rPr>
        <w:fldChar w:fldCharType="begin"/>
      </w:r>
      <w:r>
        <w:rPr>
          <w:color w:val="auto"/>
          <w:highlight w:val="none"/>
        </w:rPr>
        <w:instrText xml:space="preserve"> PAGEREF _Toc27642 \h </w:instrText>
      </w:r>
      <w:r>
        <w:rPr>
          <w:color w:val="auto"/>
          <w:highlight w:val="none"/>
        </w:rPr>
        <w:fldChar w:fldCharType="separate"/>
      </w:r>
      <w:r>
        <w:rPr>
          <w:color w:val="auto"/>
          <w:highlight w:val="none"/>
        </w:rPr>
        <w:t>11</w:t>
      </w:r>
      <w:r>
        <w:rPr>
          <w:color w:val="auto"/>
          <w:highlight w:val="none"/>
        </w:rPr>
        <w:fldChar w:fldCharType="end"/>
      </w:r>
      <w:r>
        <w:rPr>
          <w:color w:val="auto"/>
          <w:highlight w:val="none"/>
        </w:rPr>
        <w:fldChar w:fldCharType="end"/>
      </w:r>
    </w:p>
    <w:p>
      <w:pPr>
        <w:pStyle w:val="27"/>
        <w:tabs>
          <w:tab w:val="right" w:leader="dot" w:pos="9746"/>
        </w:tabs>
        <w:ind w:firstLine="280" w:firstLineChars="100"/>
        <w:rPr>
          <w:color w:val="auto"/>
          <w:highlight w:val="none"/>
        </w:rPr>
      </w:pPr>
      <w:r>
        <w:rPr>
          <w:color w:val="auto"/>
          <w:highlight w:val="none"/>
        </w:rPr>
        <w:fldChar w:fldCharType="begin"/>
      </w:r>
      <w:r>
        <w:rPr>
          <w:color w:val="auto"/>
          <w:highlight w:val="none"/>
        </w:rPr>
        <w:instrText xml:space="preserve"> HYPERLINK \l "_Toc16694" </w:instrText>
      </w:r>
      <w:r>
        <w:rPr>
          <w:color w:val="auto"/>
          <w:highlight w:val="none"/>
        </w:rPr>
        <w:fldChar w:fldCharType="separate"/>
      </w:r>
      <w:r>
        <w:rPr>
          <w:rFonts w:hint="eastAsia" w:ascii="仿宋" w:hAnsi="仿宋" w:eastAsia="仿宋" w:cs="仿宋"/>
          <w:color w:val="auto"/>
          <w:szCs w:val="30"/>
          <w:highlight w:val="none"/>
        </w:rPr>
        <w:t>十、招标文件的解释权</w:t>
      </w:r>
      <w:r>
        <w:rPr>
          <w:color w:val="auto"/>
          <w:highlight w:val="none"/>
        </w:rPr>
        <w:tab/>
      </w:r>
      <w:r>
        <w:rPr>
          <w:color w:val="auto"/>
          <w:highlight w:val="none"/>
        </w:rPr>
        <w:fldChar w:fldCharType="begin"/>
      </w:r>
      <w:r>
        <w:rPr>
          <w:color w:val="auto"/>
          <w:highlight w:val="none"/>
        </w:rPr>
        <w:instrText xml:space="preserve"> PAGEREF _Toc16694 \h </w:instrText>
      </w:r>
      <w:r>
        <w:rPr>
          <w:color w:val="auto"/>
          <w:highlight w:val="none"/>
        </w:rPr>
        <w:fldChar w:fldCharType="separate"/>
      </w:r>
      <w:r>
        <w:rPr>
          <w:color w:val="auto"/>
          <w:highlight w:val="none"/>
        </w:rPr>
        <w:t>11</w:t>
      </w:r>
      <w:r>
        <w:rPr>
          <w:color w:val="auto"/>
          <w:highlight w:val="none"/>
        </w:rPr>
        <w:fldChar w:fldCharType="end"/>
      </w:r>
      <w:r>
        <w:rPr>
          <w:color w:val="auto"/>
          <w:highlight w:val="none"/>
        </w:rPr>
        <w:fldChar w:fldCharType="end"/>
      </w:r>
    </w:p>
    <w:p>
      <w:pPr>
        <w:pStyle w:val="27"/>
        <w:tabs>
          <w:tab w:val="right" w:leader="dot" w:pos="9746"/>
        </w:tabs>
        <w:rPr>
          <w:color w:val="auto"/>
          <w:highlight w:val="none"/>
        </w:rPr>
      </w:pPr>
      <w:r>
        <w:rPr>
          <w:color w:val="auto"/>
          <w:highlight w:val="none"/>
        </w:rPr>
        <w:fldChar w:fldCharType="begin"/>
      </w:r>
      <w:r>
        <w:rPr>
          <w:color w:val="auto"/>
          <w:highlight w:val="none"/>
        </w:rPr>
        <w:instrText xml:space="preserve"> HYPERLINK \l "_Toc740" </w:instrText>
      </w:r>
      <w:r>
        <w:rPr>
          <w:color w:val="auto"/>
          <w:highlight w:val="none"/>
        </w:rPr>
        <w:fldChar w:fldCharType="separate"/>
      </w:r>
      <w:r>
        <w:rPr>
          <w:rFonts w:hint="eastAsia" w:ascii="仿宋" w:hAnsi="仿宋" w:eastAsia="仿宋" w:cs="仿宋"/>
          <w:color w:val="auto"/>
          <w:szCs w:val="36"/>
          <w:highlight w:val="none"/>
        </w:rPr>
        <w:t>第三部分 开标、评标、定标</w:t>
      </w:r>
      <w:r>
        <w:rPr>
          <w:color w:val="auto"/>
          <w:highlight w:val="none"/>
        </w:rPr>
        <w:tab/>
      </w:r>
      <w:r>
        <w:rPr>
          <w:color w:val="auto"/>
          <w:highlight w:val="none"/>
        </w:rPr>
        <w:fldChar w:fldCharType="begin"/>
      </w:r>
      <w:r>
        <w:rPr>
          <w:color w:val="auto"/>
          <w:highlight w:val="none"/>
        </w:rPr>
        <w:instrText xml:space="preserve"> PAGEREF _Toc740 \h </w:instrText>
      </w:r>
      <w:r>
        <w:rPr>
          <w:color w:val="auto"/>
          <w:highlight w:val="none"/>
        </w:rPr>
        <w:fldChar w:fldCharType="separate"/>
      </w:r>
      <w:r>
        <w:rPr>
          <w:color w:val="auto"/>
          <w:highlight w:val="none"/>
        </w:rPr>
        <w:t>12</w:t>
      </w:r>
      <w:r>
        <w:rPr>
          <w:color w:val="auto"/>
          <w:highlight w:val="none"/>
        </w:rPr>
        <w:fldChar w:fldCharType="end"/>
      </w:r>
      <w:r>
        <w:rPr>
          <w:color w:val="auto"/>
          <w:highlight w:val="none"/>
        </w:rPr>
        <w:fldChar w:fldCharType="end"/>
      </w:r>
    </w:p>
    <w:p>
      <w:pPr>
        <w:pStyle w:val="27"/>
        <w:tabs>
          <w:tab w:val="right" w:leader="dot" w:pos="9746"/>
        </w:tabs>
        <w:ind w:firstLine="280" w:firstLineChars="100"/>
        <w:rPr>
          <w:color w:val="auto"/>
          <w:highlight w:val="none"/>
        </w:rPr>
      </w:pPr>
      <w:r>
        <w:rPr>
          <w:color w:val="auto"/>
          <w:highlight w:val="none"/>
        </w:rPr>
        <w:fldChar w:fldCharType="begin"/>
      </w:r>
      <w:r>
        <w:rPr>
          <w:color w:val="auto"/>
          <w:highlight w:val="none"/>
        </w:rPr>
        <w:instrText xml:space="preserve"> HYPERLINK \l "_Toc18473" </w:instrText>
      </w:r>
      <w:r>
        <w:rPr>
          <w:color w:val="auto"/>
          <w:highlight w:val="none"/>
        </w:rPr>
        <w:fldChar w:fldCharType="separate"/>
      </w:r>
      <w:r>
        <w:rPr>
          <w:rFonts w:hint="eastAsia" w:ascii="仿宋" w:hAnsi="仿宋" w:eastAsia="仿宋" w:cs="仿宋"/>
          <w:color w:val="auto"/>
          <w:szCs w:val="30"/>
          <w:highlight w:val="none"/>
        </w:rPr>
        <w:t>一、开标</w:t>
      </w:r>
      <w:r>
        <w:rPr>
          <w:color w:val="auto"/>
          <w:highlight w:val="none"/>
        </w:rPr>
        <w:tab/>
      </w:r>
      <w:r>
        <w:rPr>
          <w:color w:val="auto"/>
          <w:highlight w:val="none"/>
        </w:rPr>
        <w:fldChar w:fldCharType="begin"/>
      </w:r>
      <w:r>
        <w:rPr>
          <w:color w:val="auto"/>
          <w:highlight w:val="none"/>
        </w:rPr>
        <w:instrText xml:space="preserve"> PAGEREF _Toc18473 \h </w:instrText>
      </w:r>
      <w:r>
        <w:rPr>
          <w:color w:val="auto"/>
          <w:highlight w:val="none"/>
        </w:rPr>
        <w:fldChar w:fldCharType="separate"/>
      </w:r>
      <w:r>
        <w:rPr>
          <w:color w:val="auto"/>
          <w:highlight w:val="none"/>
        </w:rPr>
        <w:t>12</w:t>
      </w:r>
      <w:r>
        <w:rPr>
          <w:color w:val="auto"/>
          <w:highlight w:val="none"/>
        </w:rPr>
        <w:fldChar w:fldCharType="end"/>
      </w:r>
      <w:r>
        <w:rPr>
          <w:color w:val="auto"/>
          <w:highlight w:val="none"/>
        </w:rPr>
        <w:fldChar w:fldCharType="end"/>
      </w:r>
    </w:p>
    <w:p>
      <w:pPr>
        <w:pStyle w:val="27"/>
        <w:tabs>
          <w:tab w:val="right" w:leader="dot" w:pos="9746"/>
        </w:tabs>
        <w:ind w:firstLine="280" w:firstLineChars="100"/>
        <w:rPr>
          <w:color w:val="auto"/>
          <w:highlight w:val="none"/>
        </w:rPr>
      </w:pPr>
      <w:r>
        <w:rPr>
          <w:color w:val="auto"/>
          <w:highlight w:val="none"/>
        </w:rPr>
        <w:fldChar w:fldCharType="begin"/>
      </w:r>
      <w:r>
        <w:rPr>
          <w:color w:val="auto"/>
          <w:highlight w:val="none"/>
        </w:rPr>
        <w:instrText xml:space="preserve"> HYPERLINK \l "_Toc11810" </w:instrText>
      </w:r>
      <w:r>
        <w:rPr>
          <w:color w:val="auto"/>
          <w:highlight w:val="none"/>
        </w:rPr>
        <w:fldChar w:fldCharType="separate"/>
      </w:r>
      <w:r>
        <w:rPr>
          <w:rFonts w:hint="eastAsia" w:ascii="仿宋" w:hAnsi="仿宋" w:eastAsia="仿宋" w:cs="仿宋"/>
          <w:color w:val="auto"/>
          <w:szCs w:val="30"/>
          <w:highlight w:val="none"/>
        </w:rPr>
        <w:t>二、评审委员会</w:t>
      </w:r>
      <w:r>
        <w:rPr>
          <w:color w:val="auto"/>
          <w:highlight w:val="none"/>
        </w:rPr>
        <w:tab/>
      </w:r>
      <w:r>
        <w:rPr>
          <w:color w:val="auto"/>
          <w:highlight w:val="none"/>
        </w:rPr>
        <w:fldChar w:fldCharType="begin"/>
      </w:r>
      <w:r>
        <w:rPr>
          <w:color w:val="auto"/>
          <w:highlight w:val="none"/>
        </w:rPr>
        <w:instrText xml:space="preserve"> PAGEREF _Toc11810 \h </w:instrText>
      </w:r>
      <w:r>
        <w:rPr>
          <w:color w:val="auto"/>
          <w:highlight w:val="none"/>
        </w:rPr>
        <w:fldChar w:fldCharType="separate"/>
      </w:r>
      <w:r>
        <w:rPr>
          <w:color w:val="auto"/>
          <w:highlight w:val="none"/>
        </w:rPr>
        <w:t>12</w:t>
      </w:r>
      <w:r>
        <w:rPr>
          <w:color w:val="auto"/>
          <w:highlight w:val="none"/>
        </w:rPr>
        <w:fldChar w:fldCharType="end"/>
      </w:r>
      <w:r>
        <w:rPr>
          <w:color w:val="auto"/>
          <w:highlight w:val="none"/>
        </w:rPr>
        <w:fldChar w:fldCharType="end"/>
      </w:r>
    </w:p>
    <w:p>
      <w:pPr>
        <w:pStyle w:val="27"/>
        <w:tabs>
          <w:tab w:val="right" w:leader="dot" w:pos="9746"/>
        </w:tabs>
        <w:ind w:firstLine="280" w:firstLineChars="100"/>
        <w:rPr>
          <w:color w:val="auto"/>
          <w:highlight w:val="none"/>
        </w:rPr>
      </w:pPr>
      <w:r>
        <w:rPr>
          <w:color w:val="auto"/>
          <w:highlight w:val="none"/>
        </w:rPr>
        <w:fldChar w:fldCharType="begin"/>
      </w:r>
      <w:r>
        <w:rPr>
          <w:color w:val="auto"/>
          <w:highlight w:val="none"/>
        </w:rPr>
        <w:instrText xml:space="preserve"> HYPERLINK \l "_Toc7376" </w:instrText>
      </w:r>
      <w:r>
        <w:rPr>
          <w:color w:val="auto"/>
          <w:highlight w:val="none"/>
        </w:rPr>
        <w:fldChar w:fldCharType="separate"/>
      </w:r>
      <w:r>
        <w:rPr>
          <w:rFonts w:hint="eastAsia" w:ascii="仿宋" w:hAnsi="仿宋" w:eastAsia="仿宋" w:cs="仿宋"/>
          <w:color w:val="auto"/>
          <w:szCs w:val="30"/>
          <w:highlight w:val="none"/>
        </w:rPr>
        <w:t>三、评标原则和评标方法</w:t>
      </w:r>
      <w:r>
        <w:rPr>
          <w:color w:val="auto"/>
          <w:highlight w:val="none"/>
        </w:rPr>
        <w:tab/>
      </w:r>
      <w:r>
        <w:rPr>
          <w:color w:val="auto"/>
          <w:highlight w:val="none"/>
        </w:rPr>
        <w:fldChar w:fldCharType="begin"/>
      </w:r>
      <w:r>
        <w:rPr>
          <w:color w:val="auto"/>
          <w:highlight w:val="none"/>
        </w:rPr>
        <w:instrText xml:space="preserve"> PAGEREF _Toc7376 \h </w:instrText>
      </w:r>
      <w:r>
        <w:rPr>
          <w:color w:val="auto"/>
          <w:highlight w:val="none"/>
        </w:rPr>
        <w:fldChar w:fldCharType="separate"/>
      </w:r>
      <w:r>
        <w:rPr>
          <w:color w:val="auto"/>
          <w:highlight w:val="none"/>
        </w:rPr>
        <w:t>12</w:t>
      </w:r>
      <w:r>
        <w:rPr>
          <w:color w:val="auto"/>
          <w:highlight w:val="none"/>
        </w:rPr>
        <w:fldChar w:fldCharType="end"/>
      </w:r>
      <w:r>
        <w:rPr>
          <w:color w:val="auto"/>
          <w:highlight w:val="none"/>
        </w:rPr>
        <w:fldChar w:fldCharType="end"/>
      </w:r>
    </w:p>
    <w:p>
      <w:pPr>
        <w:pStyle w:val="27"/>
        <w:tabs>
          <w:tab w:val="right" w:leader="dot" w:pos="9746"/>
        </w:tabs>
        <w:ind w:firstLine="280" w:firstLineChars="100"/>
        <w:rPr>
          <w:color w:val="auto"/>
          <w:highlight w:val="none"/>
        </w:rPr>
      </w:pPr>
      <w:r>
        <w:rPr>
          <w:color w:val="auto"/>
          <w:highlight w:val="none"/>
        </w:rPr>
        <w:fldChar w:fldCharType="begin"/>
      </w:r>
      <w:r>
        <w:rPr>
          <w:color w:val="auto"/>
          <w:highlight w:val="none"/>
        </w:rPr>
        <w:instrText xml:space="preserve"> HYPERLINK \l "_Toc26923" </w:instrText>
      </w:r>
      <w:r>
        <w:rPr>
          <w:color w:val="auto"/>
          <w:highlight w:val="none"/>
        </w:rPr>
        <w:fldChar w:fldCharType="separate"/>
      </w:r>
      <w:r>
        <w:rPr>
          <w:rFonts w:hint="eastAsia" w:ascii="仿宋" w:hAnsi="仿宋" w:eastAsia="仿宋" w:cs="仿宋"/>
          <w:color w:val="auto"/>
          <w:szCs w:val="30"/>
          <w:highlight w:val="none"/>
        </w:rPr>
        <w:t>四、评审办法</w:t>
      </w:r>
      <w:r>
        <w:rPr>
          <w:color w:val="auto"/>
          <w:highlight w:val="none"/>
        </w:rPr>
        <w:tab/>
      </w:r>
      <w:r>
        <w:rPr>
          <w:color w:val="auto"/>
          <w:highlight w:val="none"/>
        </w:rPr>
        <w:fldChar w:fldCharType="begin"/>
      </w:r>
      <w:r>
        <w:rPr>
          <w:color w:val="auto"/>
          <w:highlight w:val="none"/>
        </w:rPr>
        <w:instrText xml:space="preserve"> PAGEREF _Toc26923 \h </w:instrText>
      </w:r>
      <w:r>
        <w:rPr>
          <w:color w:val="auto"/>
          <w:highlight w:val="none"/>
        </w:rPr>
        <w:fldChar w:fldCharType="separate"/>
      </w:r>
      <w:r>
        <w:rPr>
          <w:color w:val="auto"/>
          <w:highlight w:val="none"/>
        </w:rPr>
        <w:t>12</w:t>
      </w:r>
      <w:r>
        <w:rPr>
          <w:color w:val="auto"/>
          <w:highlight w:val="none"/>
        </w:rPr>
        <w:fldChar w:fldCharType="end"/>
      </w:r>
      <w:r>
        <w:rPr>
          <w:color w:val="auto"/>
          <w:highlight w:val="none"/>
        </w:rPr>
        <w:fldChar w:fldCharType="end"/>
      </w:r>
    </w:p>
    <w:p>
      <w:pPr>
        <w:pStyle w:val="27"/>
        <w:tabs>
          <w:tab w:val="right" w:leader="dot" w:pos="9746"/>
        </w:tabs>
        <w:ind w:firstLine="280" w:firstLineChars="100"/>
        <w:rPr>
          <w:color w:val="auto"/>
          <w:highlight w:val="none"/>
        </w:rPr>
      </w:pPr>
      <w:r>
        <w:rPr>
          <w:color w:val="auto"/>
          <w:highlight w:val="none"/>
        </w:rPr>
        <w:fldChar w:fldCharType="begin"/>
      </w:r>
      <w:r>
        <w:rPr>
          <w:color w:val="auto"/>
          <w:highlight w:val="none"/>
        </w:rPr>
        <w:instrText xml:space="preserve"> HYPERLINK \l "_Toc3161" </w:instrText>
      </w:r>
      <w:r>
        <w:rPr>
          <w:color w:val="auto"/>
          <w:highlight w:val="none"/>
        </w:rPr>
        <w:fldChar w:fldCharType="separate"/>
      </w:r>
      <w:r>
        <w:rPr>
          <w:rFonts w:hint="eastAsia" w:ascii="仿宋" w:hAnsi="仿宋" w:eastAsia="仿宋" w:cs="仿宋"/>
          <w:color w:val="auto"/>
          <w:szCs w:val="30"/>
          <w:highlight w:val="none"/>
        </w:rPr>
        <w:t>五、废标</w:t>
      </w:r>
      <w:r>
        <w:rPr>
          <w:color w:val="auto"/>
          <w:highlight w:val="none"/>
        </w:rPr>
        <w:tab/>
      </w:r>
      <w:r>
        <w:rPr>
          <w:color w:val="auto"/>
          <w:highlight w:val="none"/>
        </w:rPr>
        <w:fldChar w:fldCharType="begin"/>
      </w:r>
      <w:r>
        <w:rPr>
          <w:color w:val="auto"/>
          <w:highlight w:val="none"/>
        </w:rPr>
        <w:instrText xml:space="preserve"> PAGEREF _Toc3161 \h </w:instrText>
      </w:r>
      <w:r>
        <w:rPr>
          <w:color w:val="auto"/>
          <w:highlight w:val="none"/>
        </w:rPr>
        <w:fldChar w:fldCharType="separate"/>
      </w:r>
      <w:r>
        <w:rPr>
          <w:color w:val="auto"/>
          <w:highlight w:val="none"/>
        </w:rPr>
        <w:t>14</w:t>
      </w:r>
      <w:r>
        <w:rPr>
          <w:color w:val="auto"/>
          <w:highlight w:val="none"/>
        </w:rPr>
        <w:fldChar w:fldCharType="end"/>
      </w:r>
      <w:r>
        <w:rPr>
          <w:color w:val="auto"/>
          <w:highlight w:val="none"/>
        </w:rPr>
        <w:fldChar w:fldCharType="end"/>
      </w:r>
    </w:p>
    <w:p>
      <w:pPr>
        <w:pStyle w:val="27"/>
        <w:tabs>
          <w:tab w:val="right" w:leader="dot" w:pos="9746"/>
        </w:tabs>
        <w:ind w:firstLine="280" w:firstLineChars="100"/>
        <w:rPr>
          <w:color w:val="auto"/>
          <w:highlight w:val="none"/>
        </w:rPr>
      </w:pPr>
      <w:r>
        <w:rPr>
          <w:color w:val="auto"/>
          <w:highlight w:val="none"/>
        </w:rPr>
        <w:fldChar w:fldCharType="begin"/>
      </w:r>
      <w:r>
        <w:rPr>
          <w:color w:val="auto"/>
          <w:highlight w:val="none"/>
        </w:rPr>
        <w:instrText xml:space="preserve"> HYPERLINK \l "_Toc21952" </w:instrText>
      </w:r>
      <w:r>
        <w:rPr>
          <w:color w:val="auto"/>
          <w:highlight w:val="none"/>
        </w:rPr>
        <w:fldChar w:fldCharType="separate"/>
      </w:r>
      <w:r>
        <w:rPr>
          <w:rFonts w:hint="eastAsia" w:ascii="仿宋" w:hAnsi="仿宋" w:eastAsia="仿宋" w:cs="仿宋"/>
          <w:color w:val="auto"/>
          <w:szCs w:val="30"/>
          <w:highlight w:val="none"/>
        </w:rPr>
        <w:t>六、中标通知书</w:t>
      </w:r>
      <w:r>
        <w:rPr>
          <w:color w:val="auto"/>
          <w:highlight w:val="none"/>
        </w:rPr>
        <w:tab/>
      </w:r>
      <w:r>
        <w:rPr>
          <w:color w:val="auto"/>
          <w:highlight w:val="none"/>
        </w:rPr>
        <w:fldChar w:fldCharType="begin"/>
      </w:r>
      <w:r>
        <w:rPr>
          <w:color w:val="auto"/>
          <w:highlight w:val="none"/>
        </w:rPr>
        <w:instrText xml:space="preserve"> PAGEREF _Toc21952 \h </w:instrText>
      </w:r>
      <w:r>
        <w:rPr>
          <w:color w:val="auto"/>
          <w:highlight w:val="none"/>
        </w:rPr>
        <w:fldChar w:fldCharType="separate"/>
      </w:r>
      <w:r>
        <w:rPr>
          <w:color w:val="auto"/>
          <w:highlight w:val="none"/>
        </w:rPr>
        <w:t>14</w:t>
      </w:r>
      <w:r>
        <w:rPr>
          <w:color w:val="auto"/>
          <w:highlight w:val="none"/>
        </w:rPr>
        <w:fldChar w:fldCharType="end"/>
      </w:r>
      <w:r>
        <w:rPr>
          <w:color w:val="auto"/>
          <w:highlight w:val="none"/>
        </w:rPr>
        <w:fldChar w:fldCharType="end"/>
      </w:r>
    </w:p>
    <w:p>
      <w:pPr>
        <w:pStyle w:val="27"/>
        <w:tabs>
          <w:tab w:val="right" w:leader="dot" w:pos="9746"/>
        </w:tabs>
        <w:ind w:firstLine="280" w:firstLineChars="100"/>
        <w:rPr>
          <w:color w:val="auto"/>
          <w:highlight w:val="none"/>
        </w:rPr>
      </w:pPr>
      <w:r>
        <w:rPr>
          <w:color w:val="auto"/>
          <w:highlight w:val="none"/>
        </w:rPr>
        <w:fldChar w:fldCharType="begin"/>
      </w:r>
      <w:r>
        <w:rPr>
          <w:color w:val="auto"/>
          <w:highlight w:val="none"/>
        </w:rPr>
        <w:instrText xml:space="preserve"> HYPERLINK \l "_Toc15782" </w:instrText>
      </w:r>
      <w:r>
        <w:rPr>
          <w:color w:val="auto"/>
          <w:highlight w:val="none"/>
        </w:rPr>
        <w:fldChar w:fldCharType="separate"/>
      </w:r>
      <w:r>
        <w:rPr>
          <w:rFonts w:hint="eastAsia" w:ascii="仿宋" w:hAnsi="仿宋" w:eastAsia="仿宋" w:cs="仿宋"/>
          <w:color w:val="auto"/>
          <w:szCs w:val="30"/>
          <w:highlight w:val="none"/>
        </w:rPr>
        <w:t>七、合同授予</w:t>
      </w:r>
      <w:r>
        <w:rPr>
          <w:color w:val="auto"/>
          <w:highlight w:val="none"/>
        </w:rPr>
        <w:tab/>
      </w:r>
      <w:r>
        <w:rPr>
          <w:color w:val="auto"/>
          <w:highlight w:val="none"/>
        </w:rPr>
        <w:fldChar w:fldCharType="begin"/>
      </w:r>
      <w:r>
        <w:rPr>
          <w:color w:val="auto"/>
          <w:highlight w:val="none"/>
        </w:rPr>
        <w:instrText xml:space="preserve"> PAGEREF _Toc15782 \h </w:instrText>
      </w:r>
      <w:r>
        <w:rPr>
          <w:color w:val="auto"/>
          <w:highlight w:val="none"/>
        </w:rPr>
        <w:fldChar w:fldCharType="separate"/>
      </w:r>
      <w:r>
        <w:rPr>
          <w:color w:val="auto"/>
          <w:highlight w:val="none"/>
        </w:rPr>
        <w:t>14</w:t>
      </w:r>
      <w:r>
        <w:rPr>
          <w:color w:val="auto"/>
          <w:highlight w:val="none"/>
        </w:rPr>
        <w:fldChar w:fldCharType="end"/>
      </w:r>
      <w:r>
        <w:rPr>
          <w:color w:val="auto"/>
          <w:highlight w:val="none"/>
        </w:rPr>
        <w:fldChar w:fldCharType="end"/>
      </w:r>
    </w:p>
    <w:p>
      <w:pPr>
        <w:pStyle w:val="27"/>
        <w:tabs>
          <w:tab w:val="right" w:leader="dot" w:pos="9746"/>
        </w:tabs>
        <w:rPr>
          <w:color w:val="auto"/>
          <w:highlight w:val="none"/>
        </w:rPr>
      </w:pPr>
      <w:r>
        <w:rPr>
          <w:color w:val="auto"/>
          <w:highlight w:val="none"/>
        </w:rPr>
        <w:fldChar w:fldCharType="begin"/>
      </w:r>
      <w:r>
        <w:rPr>
          <w:color w:val="auto"/>
          <w:highlight w:val="none"/>
        </w:rPr>
        <w:instrText xml:space="preserve"> HYPERLINK \l "_Toc25306" </w:instrText>
      </w:r>
      <w:r>
        <w:rPr>
          <w:color w:val="auto"/>
          <w:highlight w:val="none"/>
        </w:rPr>
        <w:fldChar w:fldCharType="separate"/>
      </w:r>
      <w:r>
        <w:rPr>
          <w:rFonts w:hint="eastAsia" w:ascii="仿宋" w:hAnsi="仿宋" w:eastAsia="仿宋" w:cs="仿宋"/>
          <w:color w:val="auto"/>
          <w:szCs w:val="36"/>
          <w:highlight w:val="none"/>
        </w:rPr>
        <w:t>第四部分  合同格式</w:t>
      </w:r>
      <w:r>
        <w:rPr>
          <w:color w:val="auto"/>
          <w:highlight w:val="none"/>
        </w:rPr>
        <w:tab/>
      </w:r>
      <w:r>
        <w:rPr>
          <w:color w:val="auto"/>
          <w:highlight w:val="none"/>
        </w:rPr>
        <w:fldChar w:fldCharType="begin"/>
      </w:r>
      <w:r>
        <w:rPr>
          <w:color w:val="auto"/>
          <w:highlight w:val="none"/>
        </w:rPr>
        <w:instrText xml:space="preserve"> PAGEREF _Toc25306 \h </w:instrText>
      </w:r>
      <w:r>
        <w:rPr>
          <w:color w:val="auto"/>
          <w:highlight w:val="none"/>
        </w:rPr>
        <w:fldChar w:fldCharType="separate"/>
      </w:r>
      <w:r>
        <w:rPr>
          <w:color w:val="auto"/>
          <w:highlight w:val="none"/>
        </w:rPr>
        <w:t>15</w:t>
      </w:r>
      <w:r>
        <w:rPr>
          <w:color w:val="auto"/>
          <w:highlight w:val="none"/>
        </w:rPr>
        <w:fldChar w:fldCharType="end"/>
      </w:r>
      <w:r>
        <w:rPr>
          <w:color w:val="auto"/>
          <w:highlight w:val="none"/>
        </w:rPr>
        <w:fldChar w:fldCharType="end"/>
      </w:r>
    </w:p>
    <w:p>
      <w:pPr>
        <w:pStyle w:val="27"/>
        <w:tabs>
          <w:tab w:val="right" w:leader="dot" w:pos="9746"/>
        </w:tabs>
        <w:rPr>
          <w:color w:val="auto"/>
          <w:highlight w:val="none"/>
        </w:rPr>
      </w:pPr>
      <w:r>
        <w:rPr>
          <w:color w:val="auto"/>
          <w:highlight w:val="none"/>
        </w:rPr>
        <w:fldChar w:fldCharType="begin"/>
      </w:r>
      <w:r>
        <w:rPr>
          <w:color w:val="auto"/>
          <w:highlight w:val="none"/>
        </w:rPr>
        <w:instrText xml:space="preserve"> HYPERLINK \l "_Toc8441" </w:instrText>
      </w:r>
      <w:r>
        <w:rPr>
          <w:color w:val="auto"/>
          <w:highlight w:val="none"/>
        </w:rPr>
        <w:fldChar w:fldCharType="separate"/>
      </w:r>
      <w:r>
        <w:rPr>
          <w:rFonts w:hint="eastAsia" w:ascii="仿宋" w:hAnsi="仿宋" w:eastAsia="仿宋" w:cs="仿宋"/>
          <w:color w:val="auto"/>
          <w:szCs w:val="36"/>
          <w:highlight w:val="none"/>
        </w:rPr>
        <w:t>第五部分 用户需求书</w:t>
      </w:r>
      <w:r>
        <w:rPr>
          <w:color w:val="auto"/>
          <w:highlight w:val="none"/>
        </w:rPr>
        <w:tab/>
      </w:r>
      <w:r>
        <w:rPr>
          <w:color w:val="auto"/>
          <w:highlight w:val="none"/>
        </w:rPr>
        <w:fldChar w:fldCharType="begin"/>
      </w:r>
      <w:r>
        <w:rPr>
          <w:color w:val="auto"/>
          <w:highlight w:val="none"/>
        </w:rPr>
        <w:instrText xml:space="preserve"> PAGEREF _Toc8441 \h </w:instrText>
      </w:r>
      <w:r>
        <w:rPr>
          <w:color w:val="auto"/>
          <w:highlight w:val="none"/>
        </w:rPr>
        <w:fldChar w:fldCharType="separate"/>
      </w:r>
      <w:r>
        <w:rPr>
          <w:color w:val="auto"/>
          <w:highlight w:val="none"/>
        </w:rPr>
        <w:t>17</w:t>
      </w:r>
      <w:r>
        <w:rPr>
          <w:color w:val="auto"/>
          <w:highlight w:val="none"/>
        </w:rPr>
        <w:fldChar w:fldCharType="end"/>
      </w:r>
      <w:r>
        <w:rPr>
          <w:color w:val="auto"/>
          <w:highlight w:val="none"/>
        </w:rPr>
        <w:fldChar w:fldCharType="end"/>
      </w:r>
    </w:p>
    <w:p>
      <w:pPr>
        <w:pStyle w:val="31"/>
        <w:tabs>
          <w:tab w:val="right" w:leader="dot" w:pos="9746"/>
        </w:tabs>
        <w:ind w:left="0" w:leftChars="0" w:firstLine="280" w:firstLineChars="100"/>
        <w:rPr>
          <w:color w:val="auto"/>
          <w:highlight w:val="none"/>
        </w:rPr>
      </w:pPr>
      <w:r>
        <w:rPr>
          <w:color w:val="auto"/>
          <w:highlight w:val="none"/>
        </w:rPr>
        <w:fldChar w:fldCharType="begin"/>
      </w:r>
      <w:r>
        <w:rPr>
          <w:color w:val="auto"/>
          <w:highlight w:val="none"/>
        </w:rPr>
        <w:instrText xml:space="preserve"> HYPERLINK \l "_Toc20501" </w:instrText>
      </w:r>
      <w:r>
        <w:rPr>
          <w:color w:val="auto"/>
          <w:highlight w:val="none"/>
        </w:rPr>
        <w:fldChar w:fldCharType="separate"/>
      </w:r>
      <w:r>
        <w:rPr>
          <w:rFonts w:hint="eastAsia" w:ascii="仿宋" w:hAnsi="仿宋" w:eastAsia="仿宋" w:cs="仿宋"/>
          <w:color w:val="auto"/>
          <w:highlight w:val="none"/>
        </w:rPr>
        <w:t>一、</w:t>
      </w:r>
      <w:r>
        <w:rPr>
          <w:rFonts w:hint="eastAsia" w:ascii="仿宋" w:hAnsi="仿宋" w:eastAsia="仿宋" w:cs="仿宋"/>
          <w:color w:val="auto"/>
          <w:szCs w:val="24"/>
          <w:highlight w:val="none"/>
        </w:rPr>
        <w:t>招标产品技术规格、要求和数量（包括附件、图纸等）</w:t>
      </w:r>
      <w:r>
        <w:rPr>
          <w:color w:val="auto"/>
          <w:highlight w:val="none"/>
        </w:rPr>
        <w:tab/>
      </w:r>
      <w:r>
        <w:rPr>
          <w:color w:val="auto"/>
          <w:highlight w:val="none"/>
        </w:rPr>
        <w:fldChar w:fldCharType="begin"/>
      </w:r>
      <w:r>
        <w:rPr>
          <w:color w:val="auto"/>
          <w:highlight w:val="none"/>
        </w:rPr>
        <w:instrText xml:space="preserve"> PAGEREF _Toc20501 \h </w:instrText>
      </w:r>
      <w:r>
        <w:rPr>
          <w:color w:val="auto"/>
          <w:highlight w:val="none"/>
        </w:rPr>
        <w:fldChar w:fldCharType="separate"/>
      </w:r>
      <w:r>
        <w:rPr>
          <w:color w:val="auto"/>
          <w:highlight w:val="none"/>
        </w:rPr>
        <w:t>17</w:t>
      </w:r>
      <w:r>
        <w:rPr>
          <w:color w:val="auto"/>
          <w:highlight w:val="none"/>
        </w:rPr>
        <w:fldChar w:fldCharType="end"/>
      </w:r>
      <w:r>
        <w:rPr>
          <w:color w:val="auto"/>
          <w:highlight w:val="none"/>
        </w:rPr>
        <w:fldChar w:fldCharType="end"/>
      </w:r>
    </w:p>
    <w:p>
      <w:pPr>
        <w:pStyle w:val="31"/>
        <w:tabs>
          <w:tab w:val="right" w:leader="dot" w:pos="9746"/>
        </w:tabs>
        <w:ind w:left="0" w:leftChars="0" w:firstLine="280" w:firstLineChars="100"/>
        <w:rPr>
          <w:color w:val="auto"/>
          <w:highlight w:val="none"/>
        </w:rPr>
      </w:pPr>
      <w:r>
        <w:rPr>
          <w:color w:val="auto"/>
          <w:highlight w:val="none"/>
        </w:rPr>
        <w:fldChar w:fldCharType="begin"/>
      </w:r>
      <w:r>
        <w:rPr>
          <w:color w:val="auto"/>
          <w:highlight w:val="none"/>
        </w:rPr>
        <w:instrText xml:space="preserve"> HYPERLINK \l "_Toc28230" </w:instrText>
      </w:r>
      <w:r>
        <w:rPr>
          <w:color w:val="auto"/>
          <w:highlight w:val="none"/>
        </w:rPr>
        <w:fldChar w:fldCharType="separate"/>
      </w:r>
      <w:r>
        <w:rPr>
          <w:rFonts w:hint="eastAsia" w:ascii="仿宋" w:hAnsi="仿宋" w:eastAsia="仿宋" w:cs="仿宋"/>
          <w:color w:val="auto"/>
          <w:szCs w:val="24"/>
          <w:highlight w:val="none"/>
        </w:rPr>
        <w:t>二.商务条件</w:t>
      </w:r>
      <w:r>
        <w:rPr>
          <w:color w:val="auto"/>
          <w:highlight w:val="none"/>
        </w:rPr>
        <w:tab/>
      </w:r>
      <w:r>
        <w:rPr>
          <w:color w:val="auto"/>
          <w:highlight w:val="none"/>
        </w:rPr>
        <w:fldChar w:fldCharType="begin"/>
      </w:r>
      <w:r>
        <w:rPr>
          <w:color w:val="auto"/>
          <w:highlight w:val="none"/>
        </w:rPr>
        <w:instrText xml:space="preserve"> PAGEREF _Toc28230 \h </w:instrText>
      </w:r>
      <w:r>
        <w:rPr>
          <w:color w:val="auto"/>
          <w:highlight w:val="none"/>
        </w:rPr>
        <w:fldChar w:fldCharType="separate"/>
      </w:r>
      <w:r>
        <w:rPr>
          <w:color w:val="auto"/>
          <w:highlight w:val="none"/>
        </w:rPr>
        <w:t>32</w:t>
      </w:r>
      <w:r>
        <w:rPr>
          <w:color w:val="auto"/>
          <w:highlight w:val="none"/>
        </w:rPr>
        <w:fldChar w:fldCharType="end"/>
      </w:r>
      <w:r>
        <w:rPr>
          <w:color w:val="auto"/>
          <w:highlight w:val="none"/>
        </w:rPr>
        <w:fldChar w:fldCharType="end"/>
      </w:r>
    </w:p>
    <w:p>
      <w:pPr>
        <w:pStyle w:val="27"/>
        <w:tabs>
          <w:tab w:val="right" w:leader="dot" w:pos="9746"/>
        </w:tabs>
        <w:rPr>
          <w:color w:val="auto"/>
          <w:highlight w:val="none"/>
        </w:rPr>
      </w:pPr>
      <w:r>
        <w:rPr>
          <w:color w:val="auto"/>
          <w:highlight w:val="none"/>
        </w:rPr>
        <w:fldChar w:fldCharType="begin"/>
      </w:r>
      <w:r>
        <w:rPr>
          <w:color w:val="auto"/>
          <w:highlight w:val="none"/>
        </w:rPr>
        <w:instrText xml:space="preserve"> HYPERLINK \l "_Toc6485" </w:instrText>
      </w:r>
      <w:r>
        <w:rPr>
          <w:color w:val="auto"/>
          <w:highlight w:val="none"/>
        </w:rPr>
        <w:fldChar w:fldCharType="separate"/>
      </w:r>
      <w:r>
        <w:rPr>
          <w:rFonts w:hint="eastAsia" w:ascii="仿宋" w:hAnsi="仿宋" w:eastAsia="仿宋" w:cs="仿宋"/>
          <w:color w:val="auto"/>
          <w:highlight w:val="none"/>
        </w:rPr>
        <w:t>第六部分 附件</w:t>
      </w:r>
      <w:r>
        <w:rPr>
          <w:color w:val="auto"/>
          <w:highlight w:val="none"/>
        </w:rPr>
        <w:tab/>
      </w:r>
      <w:r>
        <w:rPr>
          <w:color w:val="auto"/>
          <w:highlight w:val="none"/>
        </w:rPr>
        <w:fldChar w:fldCharType="begin"/>
      </w:r>
      <w:r>
        <w:rPr>
          <w:color w:val="auto"/>
          <w:highlight w:val="none"/>
        </w:rPr>
        <w:instrText xml:space="preserve"> PAGEREF _Toc6485 \h </w:instrText>
      </w:r>
      <w:r>
        <w:rPr>
          <w:color w:val="auto"/>
          <w:highlight w:val="none"/>
        </w:rPr>
        <w:fldChar w:fldCharType="separate"/>
      </w:r>
      <w:r>
        <w:rPr>
          <w:color w:val="auto"/>
          <w:highlight w:val="none"/>
        </w:rPr>
        <w:t>34</w:t>
      </w:r>
      <w:r>
        <w:rPr>
          <w:color w:val="auto"/>
          <w:highlight w:val="none"/>
        </w:rPr>
        <w:fldChar w:fldCharType="end"/>
      </w:r>
      <w:r>
        <w:rPr>
          <w:color w:val="auto"/>
          <w:highlight w:val="none"/>
        </w:rPr>
        <w:fldChar w:fldCharType="end"/>
      </w:r>
    </w:p>
    <w:p>
      <w:pPr>
        <w:pStyle w:val="27"/>
        <w:tabs>
          <w:tab w:val="right" w:leader="dot" w:pos="9746"/>
        </w:tabs>
        <w:ind w:firstLine="280" w:firstLineChars="100"/>
        <w:rPr>
          <w:color w:val="auto"/>
          <w:highlight w:val="none"/>
        </w:rPr>
      </w:pPr>
      <w:r>
        <w:rPr>
          <w:color w:val="auto"/>
          <w:highlight w:val="none"/>
        </w:rPr>
        <w:fldChar w:fldCharType="begin"/>
      </w:r>
      <w:r>
        <w:rPr>
          <w:color w:val="auto"/>
          <w:highlight w:val="none"/>
        </w:rPr>
        <w:instrText xml:space="preserve"> HYPERLINK \l "_Toc11952" </w:instrText>
      </w:r>
      <w:r>
        <w:rPr>
          <w:color w:val="auto"/>
          <w:highlight w:val="none"/>
        </w:rPr>
        <w:fldChar w:fldCharType="separate"/>
      </w:r>
      <w:r>
        <w:rPr>
          <w:rFonts w:hint="eastAsia" w:ascii="仿宋" w:hAnsi="仿宋" w:eastAsia="仿宋" w:cs="仿宋"/>
          <w:color w:val="auto"/>
          <w:highlight w:val="none"/>
        </w:rPr>
        <w:t>附件1：封面格式</w:t>
      </w:r>
      <w:r>
        <w:rPr>
          <w:color w:val="auto"/>
          <w:highlight w:val="none"/>
        </w:rPr>
        <w:tab/>
      </w:r>
      <w:r>
        <w:rPr>
          <w:color w:val="auto"/>
          <w:highlight w:val="none"/>
        </w:rPr>
        <w:fldChar w:fldCharType="begin"/>
      </w:r>
      <w:r>
        <w:rPr>
          <w:color w:val="auto"/>
          <w:highlight w:val="none"/>
        </w:rPr>
        <w:instrText xml:space="preserve"> PAGEREF _Toc11952 \h </w:instrText>
      </w:r>
      <w:r>
        <w:rPr>
          <w:color w:val="auto"/>
          <w:highlight w:val="none"/>
        </w:rPr>
        <w:fldChar w:fldCharType="separate"/>
      </w:r>
      <w:r>
        <w:rPr>
          <w:color w:val="auto"/>
          <w:highlight w:val="none"/>
        </w:rPr>
        <w:t>35</w:t>
      </w:r>
      <w:r>
        <w:rPr>
          <w:color w:val="auto"/>
          <w:highlight w:val="none"/>
        </w:rPr>
        <w:fldChar w:fldCharType="end"/>
      </w:r>
      <w:r>
        <w:rPr>
          <w:color w:val="auto"/>
          <w:highlight w:val="none"/>
        </w:rPr>
        <w:fldChar w:fldCharType="end"/>
      </w:r>
    </w:p>
    <w:p>
      <w:pPr>
        <w:pStyle w:val="27"/>
        <w:tabs>
          <w:tab w:val="right" w:leader="dot" w:pos="9746"/>
        </w:tabs>
        <w:ind w:firstLine="280" w:firstLineChars="100"/>
        <w:rPr>
          <w:color w:val="auto"/>
          <w:highlight w:val="none"/>
        </w:rPr>
      </w:pPr>
      <w:r>
        <w:rPr>
          <w:color w:val="auto"/>
          <w:highlight w:val="none"/>
        </w:rPr>
        <w:fldChar w:fldCharType="begin"/>
      </w:r>
      <w:r>
        <w:rPr>
          <w:color w:val="auto"/>
          <w:highlight w:val="none"/>
        </w:rPr>
        <w:instrText xml:space="preserve"> HYPERLINK \l "_Toc29884" </w:instrText>
      </w:r>
      <w:r>
        <w:rPr>
          <w:color w:val="auto"/>
          <w:highlight w:val="none"/>
        </w:rPr>
        <w:fldChar w:fldCharType="separate"/>
      </w:r>
      <w:r>
        <w:rPr>
          <w:rFonts w:hint="eastAsia" w:ascii="仿宋" w:hAnsi="仿宋" w:eastAsia="仿宋" w:cs="仿宋"/>
          <w:color w:val="auto"/>
          <w:highlight w:val="none"/>
        </w:rPr>
        <w:t>附件2：投标函</w:t>
      </w:r>
      <w:r>
        <w:rPr>
          <w:color w:val="auto"/>
          <w:highlight w:val="none"/>
        </w:rPr>
        <w:tab/>
      </w:r>
      <w:r>
        <w:rPr>
          <w:color w:val="auto"/>
          <w:highlight w:val="none"/>
        </w:rPr>
        <w:fldChar w:fldCharType="begin"/>
      </w:r>
      <w:r>
        <w:rPr>
          <w:color w:val="auto"/>
          <w:highlight w:val="none"/>
        </w:rPr>
        <w:instrText xml:space="preserve"> PAGEREF _Toc29884 \h </w:instrText>
      </w:r>
      <w:r>
        <w:rPr>
          <w:color w:val="auto"/>
          <w:highlight w:val="none"/>
        </w:rPr>
        <w:fldChar w:fldCharType="separate"/>
      </w:r>
      <w:r>
        <w:rPr>
          <w:color w:val="auto"/>
          <w:highlight w:val="none"/>
        </w:rPr>
        <w:t>36</w:t>
      </w:r>
      <w:r>
        <w:rPr>
          <w:color w:val="auto"/>
          <w:highlight w:val="none"/>
        </w:rPr>
        <w:fldChar w:fldCharType="end"/>
      </w:r>
      <w:r>
        <w:rPr>
          <w:color w:val="auto"/>
          <w:highlight w:val="none"/>
        </w:rPr>
        <w:fldChar w:fldCharType="end"/>
      </w:r>
    </w:p>
    <w:p>
      <w:pPr>
        <w:pStyle w:val="27"/>
        <w:tabs>
          <w:tab w:val="right" w:leader="dot" w:pos="9746"/>
        </w:tabs>
        <w:ind w:firstLine="280" w:firstLineChars="100"/>
        <w:rPr>
          <w:color w:val="auto"/>
          <w:highlight w:val="none"/>
        </w:rPr>
      </w:pPr>
      <w:r>
        <w:rPr>
          <w:color w:val="auto"/>
          <w:highlight w:val="none"/>
        </w:rPr>
        <w:fldChar w:fldCharType="begin"/>
      </w:r>
      <w:r>
        <w:rPr>
          <w:color w:val="auto"/>
          <w:highlight w:val="none"/>
        </w:rPr>
        <w:instrText xml:space="preserve"> HYPERLINK \l "_Toc29491" </w:instrText>
      </w:r>
      <w:r>
        <w:rPr>
          <w:color w:val="auto"/>
          <w:highlight w:val="none"/>
        </w:rPr>
        <w:fldChar w:fldCharType="separate"/>
      </w:r>
      <w:r>
        <w:rPr>
          <w:rFonts w:hint="eastAsia" w:ascii="仿宋" w:hAnsi="仿宋" w:eastAsia="仿宋" w:cs="仿宋"/>
          <w:color w:val="auto"/>
          <w:highlight w:val="none"/>
        </w:rPr>
        <w:t>附件3：法定代表人身份证明</w:t>
      </w:r>
      <w:r>
        <w:rPr>
          <w:color w:val="auto"/>
          <w:highlight w:val="none"/>
        </w:rPr>
        <w:tab/>
      </w:r>
      <w:r>
        <w:rPr>
          <w:color w:val="auto"/>
          <w:highlight w:val="none"/>
        </w:rPr>
        <w:fldChar w:fldCharType="begin"/>
      </w:r>
      <w:r>
        <w:rPr>
          <w:color w:val="auto"/>
          <w:highlight w:val="none"/>
        </w:rPr>
        <w:instrText xml:space="preserve"> PAGEREF _Toc29491 \h </w:instrText>
      </w:r>
      <w:r>
        <w:rPr>
          <w:color w:val="auto"/>
          <w:highlight w:val="none"/>
        </w:rPr>
        <w:fldChar w:fldCharType="separate"/>
      </w:r>
      <w:r>
        <w:rPr>
          <w:color w:val="auto"/>
          <w:highlight w:val="none"/>
        </w:rPr>
        <w:t>37</w:t>
      </w:r>
      <w:r>
        <w:rPr>
          <w:color w:val="auto"/>
          <w:highlight w:val="none"/>
        </w:rPr>
        <w:fldChar w:fldCharType="end"/>
      </w:r>
      <w:r>
        <w:rPr>
          <w:color w:val="auto"/>
          <w:highlight w:val="none"/>
        </w:rPr>
        <w:fldChar w:fldCharType="end"/>
      </w:r>
    </w:p>
    <w:p>
      <w:pPr>
        <w:pStyle w:val="27"/>
        <w:tabs>
          <w:tab w:val="right" w:leader="dot" w:pos="9746"/>
        </w:tabs>
        <w:ind w:firstLine="280" w:firstLineChars="100"/>
        <w:rPr>
          <w:color w:val="auto"/>
          <w:highlight w:val="none"/>
        </w:rPr>
      </w:pPr>
      <w:r>
        <w:rPr>
          <w:color w:val="auto"/>
          <w:highlight w:val="none"/>
        </w:rPr>
        <w:fldChar w:fldCharType="begin"/>
      </w:r>
      <w:r>
        <w:rPr>
          <w:color w:val="auto"/>
          <w:highlight w:val="none"/>
        </w:rPr>
        <w:instrText xml:space="preserve"> HYPERLINK \l "_Toc7467" </w:instrText>
      </w:r>
      <w:r>
        <w:rPr>
          <w:color w:val="auto"/>
          <w:highlight w:val="none"/>
        </w:rPr>
        <w:fldChar w:fldCharType="separate"/>
      </w:r>
      <w:r>
        <w:rPr>
          <w:rFonts w:hint="eastAsia" w:ascii="仿宋" w:hAnsi="仿宋" w:eastAsia="仿宋" w:cs="仿宋"/>
          <w:color w:val="auto"/>
          <w:highlight w:val="none"/>
        </w:rPr>
        <w:t>附件4：法定代表人授权委托书</w:t>
      </w:r>
      <w:r>
        <w:rPr>
          <w:color w:val="auto"/>
          <w:highlight w:val="none"/>
        </w:rPr>
        <w:tab/>
      </w:r>
      <w:r>
        <w:rPr>
          <w:color w:val="auto"/>
          <w:highlight w:val="none"/>
        </w:rPr>
        <w:fldChar w:fldCharType="begin"/>
      </w:r>
      <w:r>
        <w:rPr>
          <w:color w:val="auto"/>
          <w:highlight w:val="none"/>
        </w:rPr>
        <w:instrText xml:space="preserve"> PAGEREF _Toc7467 \h </w:instrText>
      </w:r>
      <w:r>
        <w:rPr>
          <w:color w:val="auto"/>
          <w:highlight w:val="none"/>
        </w:rPr>
        <w:fldChar w:fldCharType="separate"/>
      </w:r>
      <w:r>
        <w:rPr>
          <w:color w:val="auto"/>
          <w:highlight w:val="none"/>
        </w:rPr>
        <w:t>38</w:t>
      </w:r>
      <w:r>
        <w:rPr>
          <w:color w:val="auto"/>
          <w:highlight w:val="none"/>
        </w:rPr>
        <w:fldChar w:fldCharType="end"/>
      </w:r>
      <w:r>
        <w:rPr>
          <w:color w:val="auto"/>
          <w:highlight w:val="none"/>
        </w:rPr>
        <w:fldChar w:fldCharType="end"/>
      </w:r>
    </w:p>
    <w:p>
      <w:pPr>
        <w:pStyle w:val="27"/>
        <w:tabs>
          <w:tab w:val="right" w:leader="dot" w:pos="9746"/>
        </w:tabs>
        <w:ind w:firstLine="280" w:firstLineChars="100"/>
        <w:rPr>
          <w:color w:val="auto"/>
          <w:highlight w:val="none"/>
        </w:rPr>
      </w:pPr>
      <w:r>
        <w:rPr>
          <w:color w:val="auto"/>
          <w:highlight w:val="none"/>
        </w:rPr>
        <w:fldChar w:fldCharType="begin"/>
      </w:r>
      <w:r>
        <w:rPr>
          <w:color w:val="auto"/>
          <w:highlight w:val="none"/>
        </w:rPr>
        <w:instrText xml:space="preserve"> HYPERLINK \l "_Toc10655" </w:instrText>
      </w:r>
      <w:r>
        <w:rPr>
          <w:color w:val="auto"/>
          <w:highlight w:val="none"/>
        </w:rPr>
        <w:fldChar w:fldCharType="separate"/>
      </w:r>
      <w:r>
        <w:rPr>
          <w:rFonts w:hint="eastAsia" w:ascii="仿宋" w:hAnsi="仿宋" w:eastAsia="仿宋" w:cs="仿宋"/>
          <w:color w:val="auto"/>
          <w:highlight w:val="none"/>
        </w:rPr>
        <w:t>附件5：报价一览表</w:t>
      </w:r>
      <w:r>
        <w:rPr>
          <w:color w:val="auto"/>
          <w:highlight w:val="none"/>
        </w:rPr>
        <w:tab/>
      </w:r>
      <w:r>
        <w:rPr>
          <w:color w:val="auto"/>
          <w:highlight w:val="none"/>
        </w:rPr>
        <w:fldChar w:fldCharType="begin"/>
      </w:r>
      <w:r>
        <w:rPr>
          <w:color w:val="auto"/>
          <w:highlight w:val="none"/>
        </w:rPr>
        <w:instrText xml:space="preserve"> PAGEREF _Toc10655 \h </w:instrText>
      </w:r>
      <w:r>
        <w:rPr>
          <w:color w:val="auto"/>
          <w:highlight w:val="none"/>
        </w:rPr>
        <w:fldChar w:fldCharType="separate"/>
      </w:r>
      <w:r>
        <w:rPr>
          <w:color w:val="auto"/>
          <w:highlight w:val="none"/>
        </w:rPr>
        <w:t>39</w:t>
      </w:r>
      <w:r>
        <w:rPr>
          <w:color w:val="auto"/>
          <w:highlight w:val="none"/>
        </w:rPr>
        <w:fldChar w:fldCharType="end"/>
      </w:r>
      <w:r>
        <w:rPr>
          <w:color w:val="auto"/>
          <w:highlight w:val="none"/>
        </w:rPr>
        <w:fldChar w:fldCharType="end"/>
      </w:r>
    </w:p>
    <w:p>
      <w:pPr>
        <w:pStyle w:val="27"/>
        <w:tabs>
          <w:tab w:val="right" w:leader="dot" w:pos="9746"/>
        </w:tabs>
        <w:ind w:firstLine="280" w:firstLineChars="100"/>
        <w:rPr>
          <w:color w:val="auto"/>
          <w:highlight w:val="none"/>
        </w:rPr>
      </w:pPr>
      <w:r>
        <w:rPr>
          <w:color w:val="auto"/>
          <w:highlight w:val="none"/>
        </w:rPr>
        <w:fldChar w:fldCharType="begin"/>
      </w:r>
      <w:r>
        <w:rPr>
          <w:color w:val="auto"/>
          <w:highlight w:val="none"/>
        </w:rPr>
        <w:instrText xml:space="preserve"> HYPERLINK \l "_Toc13790" </w:instrText>
      </w:r>
      <w:r>
        <w:rPr>
          <w:color w:val="auto"/>
          <w:highlight w:val="none"/>
        </w:rPr>
        <w:fldChar w:fldCharType="separate"/>
      </w:r>
      <w:r>
        <w:rPr>
          <w:rFonts w:hint="eastAsia" w:ascii="仿宋" w:hAnsi="仿宋" w:eastAsia="仿宋" w:cs="仿宋"/>
          <w:color w:val="auto"/>
          <w:highlight w:val="none"/>
        </w:rPr>
        <w:t>附件6：报价明细表</w:t>
      </w:r>
      <w:r>
        <w:rPr>
          <w:color w:val="auto"/>
          <w:highlight w:val="none"/>
        </w:rPr>
        <w:tab/>
      </w:r>
      <w:r>
        <w:rPr>
          <w:color w:val="auto"/>
          <w:highlight w:val="none"/>
        </w:rPr>
        <w:fldChar w:fldCharType="begin"/>
      </w:r>
      <w:r>
        <w:rPr>
          <w:color w:val="auto"/>
          <w:highlight w:val="none"/>
        </w:rPr>
        <w:instrText xml:space="preserve"> PAGEREF _Toc13790 \h </w:instrText>
      </w:r>
      <w:r>
        <w:rPr>
          <w:color w:val="auto"/>
          <w:highlight w:val="none"/>
        </w:rPr>
        <w:fldChar w:fldCharType="separate"/>
      </w:r>
      <w:r>
        <w:rPr>
          <w:color w:val="auto"/>
          <w:highlight w:val="none"/>
        </w:rPr>
        <w:t>40</w:t>
      </w:r>
      <w:r>
        <w:rPr>
          <w:color w:val="auto"/>
          <w:highlight w:val="none"/>
        </w:rPr>
        <w:fldChar w:fldCharType="end"/>
      </w:r>
      <w:r>
        <w:rPr>
          <w:color w:val="auto"/>
          <w:highlight w:val="none"/>
        </w:rPr>
        <w:fldChar w:fldCharType="end"/>
      </w:r>
    </w:p>
    <w:p>
      <w:pPr>
        <w:pStyle w:val="27"/>
        <w:tabs>
          <w:tab w:val="right" w:leader="dot" w:pos="9746"/>
        </w:tabs>
        <w:ind w:firstLine="280" w:firstLineChars="100"/>
        <w:rPr>
          <w:color w:val="auto"/>
          <w:highlight w:val="none"/>
        </w:rPr>
      </w:pPr>
      <w:r>
        <w:rPr>
          <w:color w:val="auto"/>
          <w:highlight w:val="none"/>
        </w:rPr>
        <w:fldChar w:fldCharType="begin"/>
      </w:r>
      <w:r>
        <w:rPr>
          <w:color w:val="auto"/>
          <w:highlight w:val="none"/>
        </w:rPr>
        <w:instrText xml:space="preserve"> HYPERLINK \l "_Toc19008" </w:instrText>
      </w:r>
      <w:r>
        <w:rPr>
          <w:color w:val="auto"/>
          <w:highlight w:val="none"/>
        </w:rPr>
        <w:fldChar w:fldCharType="separate"/>
      </w:r>
      <w:r>
        <w:rPr>
          <w:rFonts w:hint="eastAsia" w:ascii="仿宋" w:hAnsi="仿宋" w:eastAsia="仿宋" w:cs="仿宋"/>
          <w:color w:val="auto"/>
          <w:highlight w:val="none"/>
        </w:rPr>
        <w:t>附件7：备品备件报价表</w:t>
      </w:r>
      <w:r>
        <w:rPr>
          <w:color w:val="auto"/>
          <w:highlight w:val="none"/>
        </w:rPr>
        <w:tab/>
      </w:r>
      <w:r>
        <w:rPr>
          <w:color w:val="auto"/>
          <w:highlight w:val="none"/>
        </w:rPr>
        <w:fldChar w:fldCharType="begin"/>
      </w:r>
      <w:r>
        <w:rPr>
          <w:color w:val="auto"/>
          <w:highlight w:val="none"/>
        </w:rPr>
        <w:instrText xml:space="preserve"> PAGEREF _Toc19008 \h </w:instrText>
      </w:r>
      <w:r>
        <w:rPr>
          <w:color w:val="auto"/>
          <w:highlight w:val="none"/>
        </w:rPr>
        <w:fldChar w:fldCharType="separate"/>
      </w:r>
      <w:r>
        <w:rPr>
          <w:color w:val="auto"/>
          <w:highlight w:val="none"/>
        </w:rPr>
        <w:t>41</w:t>
      </w:r>
      <w:r>
        <w:rPr>
          <w:color w:val="auto"/>
          <w:highlight w:val="none"/>
        </w:rPr>
        <w:fldChar w:fldCharType="end"/>
      </w:r>
      <w:r>
        <w:rPr>
          <w:color w:val="auto"/>
          <w:highlight w:val="none"/>
        </w:rPr>
        <w:fldChar w:fldCharType="end"/>
      </w:r>
    </w:p>
    <w:p>
      <w:pPr>
        <w:pStyle w:val="27"/>
        <w:tabs>
          <w:tab w:val="right" w:leader="dot" w:pos="9746"/>
        </w:tabs>
        <w:ind w:firstLine="280" w:firstLineChars="100"/>
        <w:rPr>
          <w:color w:val="auto"/>
          <w:highlight w:val="none"/>
        </w:rPr>
      </w:pPr>
      <w:r>
        <w:rPr>
          <w:color w:val="auto"/>
          <w:highlight w:val="none"/>
        </w:rPr>
        <w:fldChar w:fldCharType="begin"/>
      </w:r>
      <w:r>
        <w:rPr>
          <w:color w:val="auto"/>
          <w:highlight w:val="none"/>
        </w:rPr>
        <w:instrText xml:space="preserve"> HYPERLINK \l "_Toc14315" </w:instrText>
      </w:r>
      <w:r>
        <w:rPr>
          <w:color w:val="auto"/>
          <w:highlight w:val="none"/>
        </w:rPr>
        <w:fldChar w:fldCharType="separate"/>
      </w:r>
      <w:r>
        <w:rPr>
          <w:rFonts w:hint="eastAsia" w:ascii="仿宋" w:hAnsi="仿宋" w:eastAsia="仿宋" w:cs="仿宋"/>
          <w:color w:val="auto"/>
          <w:highlight w:val="none"/>
        </w:rPr>
        <w:t>附件8：投标人资格声明书</w:t>
      </w:r>
      <w:r>
        <w:rPr>
          <w:color w:val="auto"/>
          <w:highlight w:val="none"/>
        </w:rPr>
        <w:tab/>
      </w:r>
      <w:r>
        <w:rPr>
          <w:color w:val="auto"/>
          <w:highlight w:val="none"/>
        </w:rPr>
        <w:fldChar w:fldCharType="begin"/>
      </w:r>
      <w:r>
        <w:rPr>
          <w:color w:val="auto"/>
          <w:highlight w:val="none"/>
        </w:rPr>
        <w:instrText xml:space="preserve"> PAGEREF _Toc14315 \h </w:instrText>
      </w:r>
      <w:r>
        <w:rPr>
          <w:color w:val="auto"/>
          <w:highlight w:val="none"/>
        </w:rPr>
        <w:fldChar w:fldCharType="separate"/>
      </w:r>
      <w:r>
        <w:rPr>
          <w:color w:val="auto"/>
          <w:highlight w:val="none"/>
        </w:rPr>
        <w:t>42</w:t>
      </w:r>
      <w:r>
        <w:rPr>
          <w:color w:val="auto"/>
          <w:highlight w:val="none"/>
        </w:rPr>
        <w:fldChar w:fldCharType="end"/>
      </w:r>
      <w:r>
        <w:rPr>
          <w:color w:val="auto"/>
          <w:highlight w:val="none"/>
        </w:rPr>
        <w:fldChar w:fldCharType="end"/>
      </w:r>
    </w:p>
    <w:p>
      <w:pPr>
        <w:pStyle w:val="27"/>
        <w:tabs>
          <w:tab w:val="right" w:leader="dot" w:pos="9746"/>
        </w:tabs>
        <w:ind w:firstLine="280" w:firstLineChars="100"/>
        <w:rPr>
          <w:color w:val="auto"/>
          <w:highlight w:val="none"/>
        </w:rPr>
      </w:pPr>
      <w:r>
        <w:rPr>
          <w:color w:val="auto"/>
          <w:highlight w:val="none"/>
        </w:rPr>
        <w:fldChar w:fldCharType="begin"/>
      </w:r>
      <w:r>
        <w:rPr>
          <w:color w:val="auto"/>
          <w:highlight w:val="none"/>
        </w:rPr>
        <w:instrText xml:space="preserve"> HYPERLINK \l "_Toc11240" </w:instrText>
      </w:r>
      <w:r>
        <w:rPr>
          <w:color w:val="auto"/>
          <w:highlight w:val="none"/>
        </w:rPr>
        <w:fldChar w:fldCharType="separate"/>
      </w:r>
      <w:r>
        <w:rPr>
          <w:rFonts w:hint="eastAsia" w:ascii="仿宋" w:hAnsi="仿宋" w:eastAsia="仿宋" w:cs="仿宋"/>
          <w:color w:val="auto"/>
          <w:highlight w:val="none"/>
        </w:rPr>
        <w:t>附件9：提供生产厂家授权承诺函</w:t>
      </w:r>
      <w:r>
        <w:rPr>
          <w:color w:val="auto"/>
          <w:highlight w:val="none"/>
        </w:rPr>
        <w:tab/>
      </w:r>
      <w:r>
        <w:rPr>
          <w:color w:val="auto"/>
          <w:highlight w:val="none"/>
        </w:rPr>
        <w:fldChar w:fldCharType="begin"/>
      </w:r>
      <w:r>
        <w:rPr>
          <w:color w:val="auto"/>
          <w:highlight w:val="none"/>
        </w:rPr>
        <w:instrText xml:space="preserve"> PAGEREF _Toc11240 \h </w:instrText>
      </w:r>
      <w:r>
        <w:rPr>
          <w:color w:val="auto"/>
          <w:highlight w:val="none"/>
        </w:rPr>
        <w:fldChar w:fldCharType="separate"/>
      </w:r>
      <w:r>
        <w:rPr>
          <w:color w:val="auto"/>
          <w:highlight w:val="none"/>
        </w:rPr>
        <w:t>43</w:t>
      </w:r>
      <w:r>
        <w:rPr>
          <w:color w:val="auto"/>
          <w:highlight w:val="none"/>
        </w:rPr>
        <w:fldChar w:fldCharType="end"/>
      </w:r>
      <w:r>
        <w:rPr>
          <w:color w:val="auto"/>
          <w:highlight w:val="none"/>
        </w:rPr>
        <w:fldChar w:fldCharType="end"/>
      </w:r>
    </w:p>
    <w:p>
      <w:pPr>
        <w:pStyle w:val="27"/>
        <w:tabs>
          <w:tab w:val="right" w:leader="dot" w:pos="9746"/>
        </w:tabs>
        <w:ind w:firstLine="280" w:firstLineChars="100"/>
        <w:rPr>
          <w:color w:val="auto"/>
          <w:highlight w:val="none"/>
        </w:rPr>
      </w:pPr>
      <w:r>
        <w:rPr>
          <w:color w:val="auto"/>
          <w:highlight w:val="none"/>
        </w:rPr>
        <w:fldChar w:fldCharType="begin"/>
      </w:r>
      <w:r>
        <w:rPr>
          <w:color w:val="auto"/>
          <w:highlight w:val="none"/>
        </w:rPr>
        <w:instrText xml:space="preserve"> HYPERLINK \l "_Toc8358" </w:instrText>
      </w:r>
      <w:r>
        <w:rPr>
          <w:color w:val="auto"/>
          <w:highlight w:val="none"/>
        </w:rPr>
        <w:fldChar w:fldCharType="separate"/>
      </w:r>
      <w:r>
        <w:rPr>
          <w:rFonts w:hint="eastAsia" w:ascii="仿宋" w:hAnsi="仿宋" w:eastAsia="仿宋" w:cs="仿宋"/>
          <w:color w:val="auto"/>
          <w:highlight w:val="none"/>
        </w:rPr>
        <w:t>附件10：技术响应/偏离表</w:t>
      </w:r>
      <w:r>
        <w:rPr>
          <w:color w:val="auto"/>
          <w:highlight w:val="none"/>
        </w:rPr>
        <w:tab/>
      </w:r>
      <w:r>
        <w:rPr>
          <w:color w:val="auto"/>
          <w:highlight w:val="none"/>
        </w:rPr>
        <w:fldChar w:fldCharType="begin"/>
      </w:r>
      <w:r>
        <w:rPr>
          <w:color w:val="auto"/>
          <w:highlight w:val="none"/>
        </w:rPr>
        <w:instrText xml:space="preserve"> PAGEREF _Toc8358 \h </w:instrText>
      </w:r>
      <w:r>
        <w:rPr>
          <w:color w:val="auto"/>
          <w:highlight w:val="none"/>
        </w:rPr>
        <w:fldChar w:fldCharType="separate"/>
      </w:r>
      <w:r>
        <w:rPr>
          <w:color w:val="auto"/>
          <w:highlight w:val="none"/>
        </w:rPr>
        <w:t>44</w:t>
      </w:r>
      <w:r>
        <w:rPr>
          <w:color w:val="auto"/>
          <w:highlight w:val="none"/>
        </w:rPr>
        <w:fldChar w:fldCharType="end"/>
      </w:r>
      <w:r>
        <w:rPr>
          <w:color w:val="auto"/>
          <w:highlight w:val="none"/>
        </w:rPr>
        <w:fldChar w:fldCharType="end"/>
      </w:r>
    </w:p>
    <w:p>
      <w:pPr>
        <w:pStyle w:val="27"/>
        <w:tabs>
          <w:tab w:val="right" w:leader="dot" w:pos="9746"/>
        </w:tabs>
        <w:ind w:firstLine="280" w:firstLineChars="100"/>
        <w:rPr>
          <w:color w:val="auto"/>
          <w:highlight w:val="none"/>
        </w:rPr>
      </w:pPr>
      <w:r>
        <w:rPr>
          <w:color w:val="auto"/>
          <w:highlight w:val="none"/>
        </w:rPr>
        <w:fldChar w:fldCharType="begin"/>
      </w:r>
      <w:r>
        <w:rPr>
          <w:color w:val="auto"/>
          <w:highlight w:val="none"/>
        </w:rPr>
        <w:instrText xml:space="preserve"> HYPERLINK \l "_Toc31037" </w:instrText>
      </w:r>
      <w:r>
        <w:rPr>
          <w:color w:val="auto"/>
          <w:highlight w:val="none"/>
        </w:rPr>
        <w:fldChar w:fldCharType="separate"/>
      </w:r>
      <w:r>
        <w:rPr>
          <w:rFonts w:hint="eastAsia" w:ascii="仿宋" w:hAnsi="仿宋" w:eastAsia="仿宋" w:cs="仿宋"/>
          <w:color w:val="auto"/>
          <w:highlight w:val="none"/>
        </w:rPr>
        <w:t>附件11：商务偏离表</w:t>
      </w:r>
      <w:r>
        <w:rPr>
          <w:color w:val="auto"/>
          <w:highlight w:val="none"/>
        </w:rPr>
        <w:tab/>
      </w:r>
      <w:r>
        <w:rPr>
          <w:color w:val="auto"/>
          <w:highlight w:val="none"/>
        </w:rPr>
        <w:fldChar w:fldCharType="begin"/>
      </w:r>
      <w:r>
        <w:rPr>
          <w:color w:val="auto"/>
          <w:highlight w:val="none"/>
        </w:rPr>
        <w:instrText xml:space="preserve"> PAGEREF _Toc31037 \h </w:instrText>
      </w:r>
      <w:r>
        <w:rPr>
          <w:color w:val="auto"/>
          <w:highlight w:val="none"/>
        </w:rPr>
        <w:fldChar w:fldCharType="separate"/>
      </w:r>
      <w:r>
        <w:rPr>
          <w:color w:val="auto"/>
          <w:highlight w:val="none"/>
        </w:rPr>
        <w:t>45</w:t>
      </w:r>
      <w:r>
        <w:rPr>
          <w:color w:val="auto"/>
          <w:highlight w:val="none"/>
        </w:rPr>
        <w:fldChar w:fldCharType="end"/>
      </w:r>
      <w:r>
        <w:rPr>
          <w:color w:val="auto"/>
          <w:highlight w:val="none"/>
        </w:rPr>
        <w:fldChar w:fldCharType="end"/>
      </w:r>
    </w:p>
    <w:p>
      <w:pPr>
        <w:pStyle w:val="27"/>
        <w:tabs>
          <w:tab w:val="right" w:leader="dot" w:pos="9746"/>
        </w:tabs>
        <w:ind w:firstLine="280" w:firstLineChars="100"/>
        <w:rPr>
          <w:color w:val="auto"/>
          <w:highlight w:val="none"/>
        </w:rPr>
      </w:pPr>
      <w:r>
        <w:rPr>
          <w:color w:val="auto"/>
          <w:highlight w:val="none"/>
        </w:rPr>
        <w:fldChar w:fldCharType="begin"/>
      </w:r>
      <w:r>
        <w:rPr>
          <w:color w:val="auto"/>
          <w:highlight w:val="none"/>
        </w:rPr>
        <w:instrText xml:space="preserve"> HYPERLINK \l "_Toc4153" </w:instrText>
      </w:r>
      <w:r>
        <w:rPr>
          <w:color w:val="auto"/>
          <w:highlight w:val="none"/>
        </w:rPr>
        <w:fldChar w:fldCharType="separate"/>
      </w:r>
      <w:r>
        <w:rPr>
          <w:rFonts w:hint="eastAsia" w:ascii="仿宋" w:hAnsi="仿宋" w:eastAsia="仿宋" w:cs="仿宋"/>
          <w:color w:val="auto"/>
          <w:highlight w:val="none"/>
        </w:rPr>
        <w:t>附件12：投标产品近三年销售清单</w:t>
      </w:r>
      <w:r>
        <w:rPr>
          <w:color w:val="auto"/>
          <w:highlight w:val="none"/>
        </w:rPr>
        <w:tab/>
      </w:r>
      <w:r>
        <w:rPr>
          <w:color w:val="auto"/>
          <w:highlight w:val="none"/>
        </w:rPr>
        <w:fldChar w:fldCharType="begin"/>
      </w:r>
      <w:r>
        <w:rPr>
          <w:color w:val="auto"/>
          <w:highlight w:val="none"/>
        </w:rPr>
        <w:instrText xml:space="preserve"> PAGEREF _Toc4153 \h </w:instrText>
      </w:r>
      <w:r>
        <w:rPr>
          <w:color w:val="auto"/>
          <w:highlight w:val="none"/>
        </w:rPr>
        <w:fldChar w:fldCharType="separate"/>
      </w:r>
      <w:r>
        <w:rPr>
          <w:color w:val="auto"/>
          <w:highlight w:val="none"/>
        </w:rPr>
        <w:t>46</w:t>
      </w:r>
      <w:r>
        <w:rPr>
          <w:color w:val="auto"/>
          <w:highlight w:val="none"/>
        </w:rPr>
        <w:fldChar w:fldCharType="end"/>
      </w:r>
      <w:r>
        <w:rPr>
          <w:color w:val="auto"/>
          <w:highlight w:val="none"/>
        </w:rPr>
        <w:fldChar w:fldCharType="end"/>
      </w:r>
    </w:p>
    <w:p>
      <w:pPr>
        <w:pStyle w:val="27"/>
        <w:tabs>
          <w:tab w:val="right" w:leader="dot" w:pos="9746"/>
        </w:tabs>
        <w:ind w:firstLine="280" w:firstLineChars="100"/>
        <w:rPr>
          <w:color w:val="auto"/>
          <w:highlight w:val="none"/>
        </w:rPr>
      </w:pPr>
      <w:r>
        <w:rPr>
          <w:color w:val="auto"/>
          <w:highlight w:val="none"/>
        </w:rPr>
        <w:fldChar w:fldCharType="begin"/>
      </w:r>
      <w:r>
        <w:rPr>
          <w:color w:val="auto"/>
          <w:highlight w:val="none"/>
        </w:rPr>
        <w:instrText xml:space="preserve"> HYPERLINK \l "_Toc22897" </w:instrText>
      </w:r>
      <w:r>
        <w:rPr>
          <w:color w:val="auto"/>
          <w:highlight w:val="none"/>
        </w:rPr>
        <w:fldChar w:fldCharType="separate"/>
      </w:r>
      <w:r>
        <w:rPr>
          <w:rFonts w:hint="eastAsia" w:ascii="仿宋" w:hAnsi="仿宋" w:eastAsia="仿宋" w:cs="仿宋"/>
          <w:color w:val="auto"/>
          <w:highlight w:val="none"/>
        </w:rPr>
        <w:t>附件13：投标人近三年类似或相同项目业绩清单</w:t>
      </w:r>
      <w:r>
        <w:rPr>
          <w:color w:val="auto"/>
          <w:highlight w:val="none"/>
        </w:rPr>
        <w:tab/>
      </w:r>
      <w:r>
        <w:rPr>
          <w:color w:val="auto"/>
          <w:highlight w:val="none"/>
        </w:rPr>
        <w:fldChar w:fldCharType="begin"/>
      </w:r>
      <w:r>
        <w:rPr>
          <w:color w:val="auto"/>
          <w:highlight w:val="none"/>
        </w:rPr>
        <w:instrText xml:space="preserve"> PAGEREF _Toc22897 \h </w:instrText>
      </w:r>
      <w:r>
        <w:rPr>
          <w:color w:val="auto"/>
          <w:highlight w:val="none"/>
        </w:rPr>
        <w:fldChar w:fldCharType="separate"/>
      </w:r>
      <w:r>
        <w:rPr>
          <w:color w:val="auto"/>
          <w:highlight w:val="none"/>
        </w:rPr>
        <w:t>47</w:t>
      </w:r>
      <w:r>
        <w:rPr>
          <w:color w:val="auto"/>
          <w:highlight w:val="none"/>
        </w:rPr>
        <w:fldChar w:fldCharType="end"/>
      </w:r>
      <w:r>
        <w:rPr>
          <w:color w:val="auto"/>
          <w:highlight w:val="none"/>
        </w:rPr>
        <w:fldChar w:fldCharType="end"/>
      </w:r>
    </w:p>
    <w:p>
      <w:pPr>
        <w:pStyle w:val="27"/>
        <w:tabs>
          <w:tab w:val="right" w:leader="dot" w:pos="8867"/>
        </w:tabs>
        <w:spacing w:line="360" w:lineRule="auto"/>
        <w:ind w:firstLine="4760" w:firstLineChars="1700"/>
        <w:jc w:val="left"/>
        <w:rPr>
          <w:rFonts w:ascii="仿宋" w:hAnsi="仿宋" w:eastAsia="仿宋" w:cs="仿宋"/>
          <w:b/>
          <w:bCs/>
          <w:color w:val="auto"/>
          <w:sz w:val="24"/>
          <w:szCs w:val="24"/>
          <w:highlight w:val="none"/>
        </w:rPr>
      </w:pPr>
      <w:r>
        <w:rPr>
          <w:rFonts w:hint="eastAsia" w:ascii="仿宋" w:hAnsi="仿宋" w:eastAsia="仿宋" w:cs="仿宋"/>
          <w:color w:val="auto"/>
          <w:highlight w:val="none"/>
        </w:rPr>
        <w:fldChar w:fldCharType="end"/>
      </w:r>
      <w:r>
        <w:rPr>
          <w:rFonts w:hint="eastAsia" w:ascii="仿宋" w:hAnsi="仿宋" w:eastAsia="仿宋" w:cs="仿宋"/>
          <w:b/>
          <w:bCs/>
          <w:color w:val="auto"/>
          <w:sz w:val="24"/>
          <w:szCs w:val="24"/>
          <w:highlight w:val="none"/>
        </w:rPr>
        <w:br w:type="page"/>
      </w:r>
    </w:p>
    <w:p>
      <w:pPr>
        <w:pStyle w:val="3"/>
        <w:rPr>
          <w:rFonts w:ascii="仿宋" w:hAnsi="仿宋" w:eastAsia="仿宋" w:cs="仿宋"/>
          <w:color w:val="auto"/>
          <w:sz w:val="36"/>
          <w:szCs w:val="36"/>
          <w:highlight w:val="none"/>
        </w:rPr>
      </w:pPr>
      <w:bookmarkStart w:id="4" w:name="_Toc27353"/>
      <w:r>
        <w:rPr>
          <w:rFonts w:hint="eastAsia" w:ascii="仿宋" w:hAnsi="仿宋" w:eastAsia="仿宋" w:cs="仿宋"/>
          <w:color w:val="auto"/>
          <w:sz w:val="36"/>
          <w:szCs w:val="36"/>
          <w:highlight w:val="none"/>
        </w:rPr>
        <w:t>第一部分 投标邀请</w:t>
      </w:r>
      <w:bookmarkEnd w:id="4"/>
    </w:p>
    <w:p>
      <w:pPr>
        <w:spacing w:line="400" w:lineRule="exact"/>
        <w:ind w:firstLine="480" w:firstLineChars="200"/>
        <w:rPr>
          <w:rFonts w:ascii="仿宋" w:hAnsi="仿宋" w:eastAsia="仿宋" w:cs="仿宋"/>
          <w:color w:val="auto"/>
          <w:sz w:val="24"/>
          <w:szCs w:val="24"/>
          <w:highlight w:val="none"/>
        </w:rPr>
      </w:pPr>
      <w:bookmarkStart w:id="5" w:name="_Toc325582571"/>
      <w:bookmarkStart w:id="6" w:name="_Toc325582066"/>
      <w:bookmarkStart w:id="7" w:name="_Toc325620702"/>
      <w:r>
        <w:rPr>
          <w:rFonts w:hint="eastAsia" w:ascii="仿宋" w:hAnsi="仿宋" w:eastAsia="仿宋" w:cs="仿宋"/>
          <w:color w:val="auto"/>
          <w:sz w:val="24"/>
          <w:highlight w:val="none"/>
          <w:u w:val="single"/>
        </w:rPr>
        <w:t>山东盛和招标代理有限公司</w:t>
      </w:r>
      <w:r>
        <w:rPr>
          <w:rFonts w:hint="eastAsia" w:ascii="仿宋" w:hAnsi="仿宋" w:eastAsia="仿宋" w:cs="仿宋"/>
          <w:color w:val="auto"/>
          <w:sz w:val="24"/>
          <w:highlight w:val="none"/>
        </w:rPr>
        <w:t>受</w:t>
      </w:r>
      <w:r>
        <w:rPr>
          <w:rFonts w:hint="eastAsia" w:ascii="仿宋" w:hAnsi="仿宋" w:eastAsia="仿宋" w:cs="仿宋"/>
          <w:color w:val="auto"/>
          <w:sz w:val="24"/>
          <w:highlight w:val="none"/>
          <w:u w:val="single"/>
        </w:rPr>
        <w:t>中国石油大学（华东）</w:t>
      </w:r>
      <w:r>
        <w:rPr>
          <w:rFonts w:hint="eastAsia" w:ascii="仿宋" w:hAnsi="仿宋" w:eastAsia="仿宋" w:cs="仿宋"/>
          <w:color w:val="auto"/>
          <w:sz w:val="24"/>
          <w:highlight w:val="none"/>
        </w:rPr>
        <w:t>的委托，依据学校管理规定，并参照《中华人民共和国政府采购法》及其他相关法规，就下述采购项目进行校内招标，邀请合格投标人进行投标。</w:t>
      </w:r>
    </w:p>
    <w:p>
      <w:pPr>
        <w:topLinePunct/>
        <w:spacing w:line="440" w:lineRule="exact"/>
        <w:ind w:firstLine="480" w:firstLineChars="200"/>
        <w:jc w:val="left"/>
        <w:rPr>
          <w:rFonts w:ascii="仿宋" w:hAnsi="仿宋" w:eastAsia="仿宋" w:cs="仿宋"/>
          <w:color w:val="auto"/>
          <w:sz w:val="24"/>
          <w:highlight w:val="none"/>
        </w:rPr>
      </w:pPr>
    </w:p>
    <w:p>
      <w:pPr>
        <w:topLinePunct/>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一、招标人名称：</w:t>
      </w:r>
      <w:r>
        <w:rPr>
          <w:rFonts w:hint="eastAsia" w:ascii="仿宋" w:hAnsi="仿宋" w:eastAsia="仿宋" w:cs="仿宋"/>
          <w:color w:val="auto"/>
          <w:sz w:val="24"/>
          <w:highlight w:val="none"/>
        </w:rPr>
        <w:t>中国石油大学（华东）</w:t>
      </w:r>
    </w:p>
    <w:p>
      <w:pPr>
        <w:topLinePunct/>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二、招标人地址：</w:t>
      </w:r>
      <w:r>
        <w:rPr>
          <w:rFonts w:hint="eastAsia" w:ascii="仿宋" w:hAnsi="仿宋" w:eastAsia="仿宋" w:cs="仿宋"/>
          <w:color w:val="auto"/>
          <w:sz w:val="24"/>
          <w:highlight w:val="none"/>
        </w:rPr>
        <w:t>山东省青岛市黄岛区长江西路66号</w:t>
      </w:r>
    </w:p>
    <w:p>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三、本次招标内容如下：</w:t>
      </w:r>
    </w:p>
    <w:p>
      <w:pPr>
        <w:topLinePunct/>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名称：古镇口校区青年教师宿舍橱柜</w:t>
      </w:r>
    </w:p>
    <w:p>
      <w:pPr>
        <w:topLinePunct/>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数量：1批</w:t>
      </w:r>
    </w:p>
    <w:p>
      <w:pPr>
        <w:topLinePunct/>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预算：742200.16元</w:t>
      </w:r>
    </w:p>
    <w:p>
      <w:pPr>
        <w:topLinePunct/>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技术要求：详见用户需求书。</w:t>
      </w:r>
    </w:p>
    <w:p>
      <w:pPr>
        <w:numPr>
          <w:ilvl w:val="0"/>
          <w:numId w:val="1"/>
        </w:numPr>
        <w:topLinePunct/>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资格要求</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 投标人在中华人民共和国国内注册，具有独立法人资格，具有独立承担民事责任能力和履行合同的能力；</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4.2 具有良好的商业信誉和健全的财务会计制度；</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 有依法缴纳税收和社会保障资金的良好记录;</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4.4参加本次投标的前三年内，在经营活动中没有重大违法记录;</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4.5通过“信用中国”网站（www.creditchina.gov.cn）查询，未被列入失信惩戒对象、重大税收违法案件当事人、采购严重违法失信行为记录等名单；</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4.6投标人须具有标的物的制造或合法的供货能力，具有履行合同和售后服务能力。</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4.7本项目不接受联合体投标；</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4.8法律、行政法规规定的其他条件。</w:t>
      </w:r>
    </w:p>
    <w:p>
      <w:pPr>
        <w:spacing w:line="360" w:lineRule="auto"/>
        <w:ind w:firstLine="482" w:firstLineChars="200"/>
        <w:rPr>
          <w:rStyle w:val="178"/>
          <w:rFonts w:ascii="仿宋" w:hAnsi="仿宋" w:eastAsia="仿宋" w:cs="仿宋"/>
          <w:color w:val="auto"/>
          <w:highlight w:val="none"/>
        </w:rPr>
      </w:pPr>
      <w:r>
        <w:rPr>
          <w:rFonts w:hint="eastAsia" w:ascii="仿宋" w:hAnsi="仿宋" w:eastAsia="仿宋" w:cs="仿宋"/>
          <w:b/>
          <w:bCs/>
          <w:color w:val="auto"/>
          <w:sz w:val="24"/>
          <w:szCs w:val="24"/>
          <w:highlight w:val="none"/>
        </w:rPr>
        <w:t>五</w:t>
      </w:r>
      <w:r>
        <w:rPr>
          <w:rFonts w:hint="eastAsia" w:ascii="仿宋" w:hAnsi="仿宋" w:eastAsia="仿宋" w:cs="仿宋"/>
          <w:b/>
          <w:color w:val="auto"/>
          <w:sz w:val="24"/>
          <w:szCs w:val="24"/>
          <w:highlight w:val="none"/>
        </w:rPr>
        <w:t>、</w:t>
      </w:r>
      <w:r>
        <w:rPr>
          <w:rStyle w:val="178"/>
          <w:rFonts w:hint="eastAsia" w:ascii="仿宋" w:hAnsi="仿宋" w:eastAsia="仿宋" w:cs="仿宋"/>
          <w:color w:val="auto"/>
          <w:highlight w:val="none"/>
        </w:rPr>
        <w:t>招标文件的获取</w:t>
      </w:r>
    </w:p>
    <w:p>
      <w:pPr>
        <w:spacing w:line="360" w:lineRule="auto"/>
        <w:ind w:firstLine="480" w:firstLineChars="200"/>
        <w:rPr>
          <w:rFonts w:ascii="仿宋" w:hAnsi="仿宋" w:eastAsia="仿宋" w:cs="仿宋"/>
          <w:color w:val="auto"/>
          <w:kern w:val="1"/>
          <w:sz w:val="24"/>
          <w:szCs w:val="24"/>
          <w:highlight w:val="none"/>
        </w:rPr>
      </w:pPr>
      <w:r>
        <w:rPr>
          <w:rFonts w:hint="eastAsia" w:ascii="仿宋" w:hAnsi="仿宋" w:eastAsia="仿宋" w:cs="仿宋"/>
          <w:color w:val="auto"/>
          <w:kern w:val="1"/>
          <w:sz w:val="24"/>
          <w:szCs w:val="24"/>
          <w:highlight w:val="none"/>
        </w:rPr>
        <w:t>5.1时间：自2022年</w:t>
      </w:r>
      <w:r>
        <w:rPr>
          <w:rFonts w:hint="eastAsia" w:ascii="仿宋" w:hAnsi="仿宋" w:eastAsia="仿宋" w:cs="仿宋"/>
          <w:color w:val="auto"/>
          <w:kern w:val="1"/>
          <w:sz w:val="24"/>
          <w:szCs w:val="24"/>
          <w:highlight w:val="none"/>
          <w:u w:val="single"/>
          <w:lang w:val="en-US" w:eastAsia="zh-CN"/>
        </w:rPr>
        <w:t>10</w:t>
      </w:r>
      <w:r>
        <w:rPr>
          <w:rFonts w:hint="eastAsia" w:ascii="仿宋" w:hAnsi="仿宋" w:eastAsia="仿宋" w:cs="仿宋"/>
          <w:color w:val="auto"/>
          <w:kern w:val="1"/>
          <w:sz w:val="24"/>
          <w:szCs w:val="24"/>
          <w:highlight w:val="none"/>
        </w:rPr>
        <w:t>月</w:t>
      </w:r>
      <w:r>
        <w:rPr>
          <w:rFonts w:hint="eastAsia" w:ascii="仿宋" w:hAnsi="仿宋" w:eastAsia="仿宋" w:cs="仿宋"/>
          <w:color w:val="auto"/>
          <w:kern w:val="1"/>
          <w:sz w:val="24"/>
          <w:szCs w:val="24"/>
          <w:highlight w:val="none"/>
          <w:u w:val="single"/>
          <w:lang w:val="en-US" w:eastAsia="zh-CN"/>
        </w:rPr>
        <w:t>8</w:t>
      </w:r>
      <w:r>
        <w:rPr>
          <w:rFonts w:hint="eastAsia" w:ascii="仿宋" w:hAnsi="仿宋" w:eastAsia="仿宋" w:cs="仿宋"/>
          <w:color w:val="auto"/>
          <w:kern w:val="1"/>
          <w:sz w:val="24"/>
          <w:szCs w:val="24"/>
          <w:highlight w:val="none"/>
        </w:rPr>
        <w:t>日起至2022年</w:t>
      </w:r>
      <w:r>
        <w:rPr>
          <w:rFonts w:hint="eastAsia" w:ascii="仿宋" w:hAnsi="仿宋" w:eastAsia="仿宋" w:cs="仿宋"/>
          <w:color w:val="auto"/>
          <w:kern w:val="1"/>
          <w:sz w:val="24"/>
          <w:szCs w:val="24"/>
          <w:highlight w:val="none"/>
          <w:u w:val="single"/>
          <w:lang w:val="en-US" w:eastAsia="zh-CN"/>
        </w:rPr>
        <w:t>10</w:t>
      </w:r>
      <w:r>
        <w:rPr>
          <w:rFonts w:hint="eastAsia" w:ascii="仿宋" w:hAnsi="仿宋" w:eastAsia="仿宋" w:cs="仿宋"/>
          <w:color w:val="auto"/>
          <w:kern w:val="1"/>
          <w:sz w:val="24"/>
          <w:szCs w:val="24"/>
          <w:highlight w:val="none"/>
        </w:rPr>
        <w:t>月</w:t>
      </w:r>
      <w:r>
        <w:rPr>
          <w:rFonts w:hint="eastAsia" w:ascii="仿宋" w:hAnsi="仿宋" w:eastAsia="仿宋" w:cs="仿宋"/>
          <w:color w:val="auto"/>
          <w:kern w:val="1"/>
          <w:sz w:val="24"/>
          <w:szCs w:val="24"/>
          <w:highlight w:val="none"/>
          <w:u w:val="single"/>
          <w:lang w:val="en-US" w:eastAsia="zh-CN"/>
        </w:rPr>
        <w:t>12</w:t>
      </w:r>
      <w:r>
        <w:rPr>
          <w:rFonts w:hint="eastAsia" w:ascii="仿宋" w:hAnsi="仿宋" w:eastAsia="仿宋" w:cs="仿宋"/>
          <w:color w:val="auto"/>
          <w:kern w:val="1"/>
          <w:sz w:val="24"/>
          <w:szCs w:val="24"/>
          <w:highlight w:val="none"/>
        </w:rPr>
        <w:t>日，每天上午08:30至11:30，下午13:30至16:30（北京时间，节假日除外，下同）。</w:t>
      </w:r>
    </w:p>
    <w:p>
      <w:pPr>
        <w:spacing w:line="360" w:lineRule="auto"/>
        <w:ind w:firstLine="480" w:firstLineChars="200"/>
        <w:rPr>
          <w:rFonts w:ascii="仿宋" w:hAnsi="仿宋" w:eastAsia="仿宋" w:cs="仿宋"/>
          <w:color w:val="auto"/>
          <w:kern w:val="1"/>
          <w:sz w:val="24"/>
          <w:szCs w:val="24"/>
          <w:highlight w:val="none"/>
        </w:rPr>
      </w:pPr>
      <w:r>
        <w:rPr>
          <w:rFonts w:hint="eastAsia" w:ascii="仿宋" w:hAnsi="仿宋" w:eastAsia="仿宋" w:cs="仿宋"/>
          <w:color w:val="auto"/>
          <w:kern w:val="1"/>
          <w:sz w:val="24"/>
          <w:szCs w:val="24"/>
          <w:highlight w:val="none"/>
        </w:rPr>
        <w:t>5.2地点：青岛市市北区敦化路138号西王大厦24楼23A01房间。</w:t>
      </w:r>
    </w:p>
    <w:p>
      <w:pPr>
        <w:spacing w:line="360" w:lineRule="auto"/>
        <w:ind w:firstLine="480" w:firstLineChars="200"/>
        <w:rPr>
          <w:rFonts w:ascii="仿宋" w:hAnsi="仿宋" w:eastAsia="仿宋" w:cs="仿宋"/>
          <w:color w:val="auto"/>
          <w:kern w:val="1"/>
          <w:sz w:val="24"/>
          <w:szCs w:val="24"/>
          <w:highlight w:val="none"/>
        </w:rPr>
      </w:pPr>
      <w:r>
        <w:rPr>
          <w:rFonts w:hint="eastAsia" w:ascii="仿宋" w:hAnsi="仿宋" w:eastAsia="仿宋" w:cs="仿宋"/>
          <w:color w:val="auto"/>
          <w:kern w:val="1"/>
          <w:sz w:val="24"/>
          <w:szCs w:val="24"/>
          <w:highlight w:val="none"/>
        </w:rPr>
        <w:t>5.3方式：以下方式二选一：</w:t>
      </w:r>
    </w:p>
    <w:p>
      <w:pPr>
        <w:numPr>
          <w:ilvl w:val="0"/>
          <w:numId w:val="2"/>
        </w:numPr>
        <w:spacing w:line="360" w:lineRule="auto"/>
        <w:ind w:firstLine="480" w:firstLineChars="200"/>
        <w:rPr>
          <w:rFonts w:ascii="仿宋" w:hAnsi="仿宋" w:eastAsia="仿宋" w:cs="仿宋"/>
          <w:color w:val="auto"/>
          <w:kern w:val="1"/>
          <w:sz w:val="24"/>
          <w:szCs w:val="24"/>
          <w:highlight w:val="none"/>
        </w:rPr>
      </w:pPr>
      <w:r>
        <w:rPr>
          <w:rFonts w:hint="eastAsia" w:ascii="仿宋" w:hAnsi="仿宋" w:eastAsia="仿宋" w:cs="仿宋"/>
          <w:color w:val="auto"/>
          <w:kern w:val="1"/>
          <w:sz w:val="24"/>
          <w:szCs w:val="24"/>
          <w:highlight w:val="none"/>
        </w:rPr>
        <w:t xml:space="preserve">现场报名：获取招标文件时须携带营业执照副本原件或加盖公章的复印件到山东盛和招标代理有限公司报名；报名地点：青岛市市北区敦化路138号甲西王大厦24楼23A01室。          </w:t>
      </w:r>
    </w:p>
    <w:p>
      <w:pPr>
        <w:numPr>
          <w:ilvl w:val="0"/>
          <w:numId w:val="2"/>
        </w:numPr>
        <w:spacing w:line="440" w:lineRule="exact"/>
        <w:ind w:firstLine="480" w:firstLineChars="200"/>
        <w:jc w:val="left"/>
        <w:rPr>
          <w:rFonts w:ascii="仿宋" w:hAnsi="仿宋" w:eastAsia="仿宋" w:cs="仿宋"/>
          <w:color w:val="auto"/>
          <w:kern w:val="1"/>
          <w:sz w:val="24"/>
          <w:szCs w:val="24"/>
          <w:highlight w:val="none"/>
        </w:rPr>
      </w:pPr>
      <w:r>
        <w:rPr>
          <w:rFonts w:hint="eastAsia" w:ascii="仿宋" w:hAnsi="仿宋" w:eastAsia="仿宋" w:cs="仿宋"/>
          <w:color w:val="auto"/>
          <w:kern w:val="1"/>
          <w:sz w:val="24"/>
          <w:szCs w:val="24"/>
          <w:highlight w:val="none"/>
        </w:rPr>
        <w:t>邮件报名：有意参加本次采购活动的供应商发送邮件。邮件内容：项目名称、项目编号、公司名称、联系人、联系电话、邮箱、营业执照副本扫描件、标书费汇款底单发送至山东盛和招标代理有限公司邮箱shzbqdb@163.com，邮件名称命名为</w:t>
      </w:r>
      <w:r>
        <w:rPr>
          <w:rFonts w:hint="eastAsia" w:ascii="仿宋" w:hAnsi="仿宋" w:eastAsia="仿宋" w:cs="仿宋"/>
          <w:b/>
          <w:bCs/>
          <w:i/>
          <w:iCs/>
          <w:color w:val="auto"/>
          <w:kern w:val="1"/>
          <w:highlight w:val="none"/>
          <w:u w:val="single"/>
        </w:rPr>
        <w:t>中国石油大学(华东)古镇口校区青年教师宿舍橱柜</w:t>
      </w:r>
      <w:r>
        <w:rPr>
          <w:rFonts w:hint="eastAsia" w:ascii="仿宋" w:hAnsi="仿宋" w:eastAsia="仿宋" w:cs="仿宋"/>
          <w:b/>
          <w:bCs/>
          <w:i/>
          <w:iCs/>
          <w:color w:val="auto"/>
          <w:kern w:val="1"/>
          <w:highlight w:val="none"/>
        </w:rPr>
        <w:t>-报名 “公司名称”</w:t>
      </w:r>
      <w:r>
        <w:rPr>
          <w:rFonts w:hint="eastAsia" w:ascii="仿宋" w:hAnsi="仿宋" w:eastAsia="仿宋" w:cs="仿宋"/>
          <w:color w:val="auto"/>
          <w:kern w:val="1"/>
          <w:sz w:val="24"/>
          <w:szCs w:val="24"/>
          <w:highlight w:val="none"/>
        </w:rPr>
        <w:t>。(提交标书费须从公司基本账户或一般账户转出，须标明项目编号、开户银行：兴业银行青岛市北支行、开 户 名：山东盛和招标代理有限公司、银行账号：522130100100053768)。未按以上规定内容报名的视为报名无效。</w:t>
      </w:r>
    </w:p>
    <w:p>
      <w:pPr>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kern w:val="1"/>
          <w:sz w:val="24"/>
          <w:szCs w:val="24"/>
          <w:highlight w:val="none"/>
        </w:rPr>
        <w:t>5.4文件售价：人民币300元，售后不退。</w:t>
      </w:r>
      <w:bookmarkStart w:id="126" w:name="_GoBack"/>
      <w:bookmarkEnd w:id="126"/>
    </w:p>
    <w:p>
      <w:pPr>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六、投标文件、样品提交起止时间、地点</w:t>
      </w:r>
    </w:p>
    <w:p>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提交起止时间：2022年</w:t>
      </w:r>
      <w:r>
        <w:rPr>
          <w:rFonts w:hint="eastAsia" w:ascii="仿宋" w:hAnsi="仿宋" w:eastAsia="仿宋" w:cs="仿宋"/>
          <w:color w:val="auto"/>
          <w:kern w:val="1"/>
          <w:sz w:val="24"/>
          <w:szCs w:val="24"/>
          <w:highlight w:val="none"/>
          <w:u w:val="single"/>
          <w:lang w:eastAsia="zh-CN"/>
        </w:rPr>
        <w:t>10</w:t>
      </w:r>
      <w:r>
        <w:rPr>
          <w:rFonts w:hint="eastAsia" w:ascii="仿宋" w:hAnsi="仿宋" w:eastAsia="仿宋" w:cs="仿宋"/>
          <w:color w:val="auto"/>
          <w:kern w:val="1"/>
          <w:sz w:val="24"/>
          <w:szCs w:val="24"/>
          <w:highlight w:val="none"/>
          <w:u w:val="none"/>
          <w:lang w:eastAsia="zh-CN"/>
        </w:rPr>
        <w:t>月</w:t>
      </w:r>
      <w:r>
        <w:rPr>
          <w:rFonts w:hint="eastAsia" w:ascii="仿宋" w:hAnsi="仿宋" w:eastAsia="仿宋" w:cs="仿宋"/>
          <w:color w:val="auto"/>
          <w:kern w:val="1"/>
          <w:sz w:val="24"/>
          <w:szCs w:val="24"/>
          <w:highlight w:val="none"/>
          <w:u w:val="single"/>
          <w:lang w:eastAsia="zh-CN"/>
        </w:rPr>
        <w:t>18</w:t>
      </w:r>
      <w:r>
        <w:rPr>
          <w:rFonts w:hint="eastAsia" w:ascii="仿宋" w:hAnsi="仿宋" w:eastAsia="仿宋" w:cs="仿宋"/>
          <w:color w:val="auto"/>
          <w:kern w:val="1"/>
          <w:sz w:val="24"/>
          <w:szCs w:val="24"/>
          <w:highlight w:val="none"/>
          <w:u w:val="none"/>
          <w:lang w:eastAsia="zh-CN"/>
        </w:rPr>
        <w:t>日</w:t>
      </w:r>
      <w:r>
        <w:rPr>
          <w:rFonts w:hint="eastAsia" w:ascii="仿宋" w:hAnsi="仿宋" w:eastAsia="仿宋" w:cs="仿宋"/>
          <w:color w:val="auto"/>
          <w:sz w:val="24"/>
          <w:highlight w:val="none"/>
        </w:rPr>
        <w:t>08:00-9:00（北京时间）。</w:t>
      </w:r>
    </w:p>
    <w:p>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提交地点：山东省青岛市市北区敦化路138号甲西王大厦23A0</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样品提交</w:t>
      </w:r>
      <w:r>
        <w:rPr>
          <w:rFonts w:hint="eastAsia" w:ascii="仿宋" w:hAnsi="仿宋" w:eastAsia="仿宋" w:cs="仿宋"/>
          <w:color w:val="auto"/>
          <w:sz w:val="24"/>
          <w:highlight w:val="none"/>
          <w:lang w:val="en-US" w:eastAsia="zh-CN"/>
        </w:rPr>
        <w:t>截</w:t>
      </w:r>
      <w:r>
        <w:rPr>
          <w:rFonts w:hint="eastAsia" w:ascii="仿宋" w:hAnsi="仿宋" w:eastAsia="仿宋" w:cs="仿宋"/>
          <w:color w:val="auto"/>
          <w:sz w:val="24"/>
          <w:highlight w:val="none"/>
        </w:rPr>
        <w:t>止时间：2022年</w:t>
      </w:r>
      <w:r>
        <w:rPr>
          <w:rFonts w:hint="eastAsia" w:ascii="仿宋" w:hAnsi="仿宋" w:eastAsia="仿宋" w:cs="仿宋"/>
          <w:color w:val="auto"/>
          <w:kern w:val="1"/>
          <w:sz w:val="24"/>
          <w:szCs w:val="24"/>
          <w:highlight w:val="none"/>
          <w:u w:val="single"/>
          <w:lang w:val="en-US" w:eastAsia="zh-CN"/>
        </w:rPr>
        <w:t>10月18日</w:t>
      </w:r>
      <w:r>
        <w:rPr>
          <w:rFonts w:hint="eastAsia" w:ascii="仿宋" w:hAnsi="仿宋" w:eastAsia="仿宋" w:cs="仿宋"/>
          <w:color w:val="auto"/>
          <w:sz w:val="24"/>
          <w:highlight w:val="none"/>
          <w:lang w:val="en-US" w:eastAsia="zh-CN"/>
        </w:rPr>
        <w:t>09</w:t>
      </w:r>
      <w:r>
        <w:rPr>
          <w:rFonts w:hint="eastAsia" w:ascii="仿宋" w:hAnsi="仿宋" w:eastAsia="仿宋" w:cs="仿宋"/>
          <w:color w:val="auto"/>
          <w:sz w:val="24"/>
          <w:highlight w:val="none"/>
        </w:rPr>
        <w:t>:00（北京时间）。</w:t>
      </w:r>
    </w:p>
    <w:p>
      <w:pPr>
        <w:spacing w:line="440" w:lineRule="exact"/>
        <w:ind w:firstLine="480" w:firstLineChars="2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样品提交地点：山东省青岛市市北区敦化路138号甲西王大厦</w:t>
      </w:r>
      <w:r>
        <w:rPr>
          <w:rFonts w:hint="eastAsia" w:ascii="仿宋" w:hAnsi="仿宋" w:eastAsia="仿宋" w:cs="仿宋"/>
          <w:color w:val="auto"/>
          <w:sz w:val="24"/>
          <w:highlight w:val="none"/>
          <w:lang w:val="en-US" w:eastAsia="zh-CN"/>
        </w:rPr>
        <w:t>B1平台。</w:t>
      </w:r>
    </w:p>
    <w:p>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提交方式：投标人必须于投标文件提交截止时间前派授权代表提交投标文件及样品，逾期不再受理，传真、邮寄等方式提交的投标文件概不接收。</w:t>
      </w:r>
    </w:p>
    <w:p>
      <w:pPr>
        <w:spacing w:line="440" w:lineRule="exact"/>
        <w:ind w:firstLine="482" w:firstLineChars="200"/>
        <w:jc w:val="left"/>
        <w:rPr>
          <w:rFonts w:ascii="仿宋" w:hAnsi="仿宋" w:eastAsia="仿宋" w:cs="仿宋"/>
          <w:bCs/>
          <w:color w:val="auto"/>
          <w:sz w:val="24"/>
          <w:highlight w:val="none"/>
        </w:rPr>
      </w:pPr>
      <w:r>
        <w:rPr>
          <w:rFonts w:hint="eastAsia" w:ascii="仿宋" w:hAnsi="仿宋" w:eastAsia="仿宋" w:cs="仿宋"/>
          <w:b/>
          <w:bCs/>
          <w:color w:val="auto"/>
          <w:sz w:val="24"/>
          <w:highlight w:val="none"/>
        </w:rPr>
        <w:t>七、开标时间：</w:t>
      </w:r>
      <w:r>
        <w:rPr>
          <w:rFonts w:hint="eastAsia" w:ascii="仿宋" w:hAnsi="仿宋" w:eastAsia="仿宋" w:cs="仿宋"/>
          <w:color w:val="auto"/>
          <w:sz w:val="24"/>
          <w:highlight w:val="none"/>
        </w:rPr>
        <w:t>2022年</w:t>
      </w:r>
      <w:r>
        <w:rPr>
          <w:rFonts w:hint="eastAsia" w:ascii="仿宋" w:hAnsi="仿宋" w:eastAsia="仿宋" w:cs="仿宋"/>
          <w:color w:val="auto"/>
          <w:kern w:val="1"/>
          <w:sz w:val="24"/>
          <w:szCs w:val="24"/>
          <w:highlight w:val="none"/>
          <w:u w:val="single"/>
          <w:lang w:val="en-US" w:eastAsia="zh-CN"/>
        </w:rPr>
        <w:t>10月18日</w:t>
      </w:r>
      <w:r>
        <w:rPr>
          <w:rFonts w:hint="eastAsia" w:ascii="仿宋" w:hAnsi="仿宋" w:eastAsia="仿宋" w:cs="仿宋"/>
          <w:color w:val="auto"/>
          <w:sz w:val="24"/>
          <w:highlight w:val="none"/>
        </w:rPr>
        <w:t>09:00（北</w:t>
      </w:r>
      <w:r>
        <w:rPr>
          <w:rFonts w:hint="eastAsia" w:ascii="仿宋" w:hAnsi="仿宋" w:eastAsia="仿宋" w:cs="仿宋"/>
          <w:bCs/>
          <w:color w:val="auto"/>
          <w:sz w:val="24"/>
          <w:highlight w:val="none"/>
        </w:rPr>
        <w:t>京时间）</w:t>
      </w:r>
    </w:p>
    <w:p>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bCs/>
          <w:color w:val="auto"/>
          <w:sz w:val="24"/>
          <w:highlight w:val="none"/>
        </w:rPr>
        <w:t>开标地点：山东省青岛市市北区敦化路138号甲西王大厦23A0</w:t>
      </w:r>
      <w:r>
        <w:rPr>
          <w:rFonts w:hint="eastAsia" w:ascii="仿宋" w:hAnsi="仿宋" w:eastAsia="仿宋" w:cs="仿宋"/>
          <w:bCs/>
          <w:color w:val="auto"/>
          <w:sz w:val="24"/>
          <w:highlight w:val="none"/>
          <w:lang w:val="en-US" w:eastAsia="zh-CN"/>
        </w:rPr>
        <w:t>3</w:t>
      </w:r>
      <w:r>
        <w:rPr>
          <w:rFonts w:hint="eastAsia" w:ascii="仿宋" w:hAnsi="仿宋" w:eastAsia="仿宋" w:cs="仿宋"/>
          <w:color w:val="auto"/>
          <w:sz w:val="24"/>
          <w:highlight w:val="none"/>
        </w:rPr>
        <w:t>。</w:t>
      </w:r>
    </w:p>
    <w:p>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bCs/>
          <w:color w:val="auto"/>
          <w:sz w:val="24"/>
          <w:highlight w:val="none"/>
        </w:rPr>
        <w:t>八</w:t>
      </w:r>
      <w:r>
        <w:rPr>
          <w:rFonts w:hint="eastAsia" w:ascii="仿宋" w:hAnsi="仿宋" w:eastAsia="仿宋" w:cs="仿宋"/>
          <w:color w:val="auto"/>
          <w:sz w:val="24"/>
          <w:highlight w:val="none"/>
        </w:rPr>
        <w:t>、</w:t>
      </w:r>
      <w:r>
        <w:rPr>
          <w:rFonts w:hint="eastAsia" w:ascii="仿宋" w:hAnsi="仿宋" w:eastAsia="仿宋" w:cs="仿宋"/>
          <w:b/>
          <w:bCs/>
          <w:color w:val="auto"/>
          <w:sz w:val="24"/>
          <w:highlight w:val="none"/>
        </w:rPr>
        <w:t>投标保证金</w:t>
      </w:r>
      <w:r>
        <w:rPr>
          <w:rFonts w:hint="eastAsia" w:ascii="仿宋" w:hAnsi="仿宋" w:eastAsia="仿宋" w:cs="仿宋"/>
          <w:b/>
          <w:color w:val="auto"/>
          <w:sz w:val="24"/>
          <w:highlight w:val="none"/>
        </w:rPr>
        <w:t>：</w:t>
      </w:r>
    </w:p>
    <w:p>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本项目不需要缴纳投标保证金。</w:t>
      </w:r>
    </w:p>
    <w:p>
      <w:pPr>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九、联系方式：</w:t>
      </w:r>
    </w:p>
    <w:p>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9.1招标人联系人：徐老师 联系电话15853256308</w:t>
      </w:r>
    </w:p>
    <w:p>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9.2代理机构：山东盛和招标代理有限公司</w:t>
      </w:r>
    </w:p>
    <w:p>
      <w:pPr>
        <w:spacing w:line="440" w:lineRule="exact"/>
        <w:ind w:firstLine="480" w:firstLineChars="200"/>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地址：</w:t>
      </w:r>
      <w:r>
        <w:rPr>
          <w:rFonts w:hint="eastAsia" w:ascii="仿宋" w:hAnsi="仿宋" w:eastAsia="仿宋" w:cs="仿宋"/>
          <w:bCs/>
          <w:color w:val="auto"/>
          <w:sz w:val="24"/>
          <w:highlight w:val="none"/>
        </w:rPr>
        <w:t>山东省青岛市市北区敦化路138号甲西王大厦23A0</w:t>
      </w:r>
      <w:r>
        <w:rPr>
          <w:rFonts w:hint="eastAsia" w:ascii="仿宋" w:hAnsi="仿宋" w:eastAsia="仿宋" w:cs="仿宋"/>
          <w:bCs/>
          <w:color w:val="auto"/>
          <w:sz w:val="24"/>
          <w:highlight w:val="none"/>
          <w:lang w:val="en-US" w:eastAsia="zh-CN"/>
        </w:rPr>
        <w:t>1</w:t>
      </w:r>
    </w:p>
    <w:p>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联系人：王坚</w:t>
      </w:r>
    </w:p>
    <w:p>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电话：0532-66753999、15966905965</w:t>
      </w:r>
    </w:p>
    <w:p>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邮箱：shzbqdb@163.com</w:t>
      </w:r>
    </w:p>
    <w:p>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采购与招标办公室网址：https://zbb.upc.edu.cn</w:t>
      </w:r>
    </w:p>
    <w:p>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招标监督电话：0532-86983322</w:t>
      </w:r>
    </w:p>
    <w:p>
      <w:pPr>
        <w:snapToGrid w:val="0"/>
        <w:spacing w:line="360" w:lineRule="auto"/>
        <w:ind w:firstLine="420" w:firstLineChars="175"/>
        <w:jc w:val="left"/>
        <w:rPr>
          <w:rFonts w:ascii="仿宋" w:hAnsi="仿宋" w:eastAsia="仿宋" w:cs="仿宋"/>
          <w:bCs/>
          <w:color w:val="auto"/>
          <w:sz w:val="24"/>
          <w:szCs w:val="24"/>
          <w:highlight w:val="none"/>
        </w:rPr>
      </w:pPr>
    </w:p>
    <w:p>
      <w:pPr>
        <w:jc w:val="left"/>
        <w:rPr>
          <w:rFonts w:ascii="仿宋" w:hAnsi="仿宋" w:eastAsia="仿宋" w:cs="仿宋"/>
          <w:color w:val="auto"/>
          <w:sz w:val="36"/>
          <w:szCs w:val="36"/>
          <w:highlight w:val="none"/>
        </w:rPr>
      </w:pPr>
      <w:r>
        <w:rPr>
          <w:rFonts w:hint="eastAsia" w:ascii="仿宋" w:hAnsi="仿宋" w:eastAsia="仿宋" w:cs="仿宋"/>
          <w:color w:val="auto"/>
          <w:sz w:val="36"/>
          <w:szCs w:val="36"/>
          <w:highlight w:val="none"/>
        </w:rPr>
        <w:br w:type="page"/>
      </w:r>
    </w:p>
    <w:p>
      <w:pPr>
        <w:pStyle w:val="3"/>
        <w:rPr>
          <w:rFonts w:ascii="仿宋" w:hAnsi="仿宋" w:eastAsia="仿宋" w:cs="仿宋"/>
          <w:color w:val="auto"/>
          <w:sz w:val="36"/>
          <w:szCs w:val="36"/>
          <w:highlight w:val="none"/>
        </w:rPr>
      </w:pPr>
      <w:bookmarkStart w:id="8" w:name="_Toc31247"/>
      <w:r>
        <w:rPr>
          <w:rFonts w:hint="eastAsia" w:ascii="仿宋" w:hAnsi="仿宋" w:eastAsia="仿宋" w:cs="仿宋"/>
          <w:color w:val="auto"/>
          <w:sz w:val="36"/>
          <w:szCs w:val="36"/>
          <w:highlight w:val="none"/>
        </w:rPr>
        <w:t>第二部分 投标人须知</w:t>
      </w:r>
      <w:bookmarkEnd w:id="5"/>
      <w:bookmarkEnd w:id="6"/>
      <w:bookmarkEnd w:id="7"/>
      <w:bookmarkEnd w:id="8"/>
    </w:p>
    <w:p>
      <w:pPr>
        <w:pStyle w:val="34"/>
        <w:spacing w:before="0" w:after="0" w:line="440" w:lineRule="exact"/>
        <w:ind w:firstLine="602" w:firstLineChars="200"/>
        <w:outlineLvl w:val="1"/>
        <w:rPr>
          <w:rFonts w:ascii="仿宋" w:hAnsi="仿宋" w:eastAsia="仿宋" w:cs="仿宋"/>
          <w:color w:val="auto"/>
          <w:sz w:val="30"/>
          <w:szCs w:val="30"/>
          <w:highlight w:val="none"/>
        </w:rPr>
      </w:pPr>
      <w:bookmarkStart w:id="9" w:name="_Toc325620703"/>
      <w:bookmarkStart w:id="10" w:name="_Toc489539215"/>
      <w:bookmarkStart w:id="11" w:name="_Toc10075"/>
      <w:r>
        <w:rPr>
          <w:rFonts w:hint="eastAsia" w:ascii="仿宋" w:hAnsi="仿宋" w:eastAsia="仿宋" w:cs="仿宋"/>
          <w:color w:val="auto"/>
          <w:sz w:val="30"/>
          <w:szCs w:val="30"/>
          <w:highlight w:val="none"/>
        </w:rPr>
        <w:t>一、</w:t>
      </w:r>
      <w:bookmarkEnd w:id="9"/>
      <w:bookmarkEnd w:id="10"/>
      <w:r>
        <w:rPr>
          <w:rFonts w:hint="eastAsia" w:ascii="仿宋" w:hAnsi="仿宋" w:eastAsia="仿宋" w:cs="仿宋"/>
          <w:color w:val="auto"/>
          <w:sz w:val="30"/>
          <w:szCs w:val="30"/>
          <w:highlight w:val="none"/>
        </w:rPr>
        <w:t>招标说明</w:t>
      </w:r>
      <w:bookmarkEnd w:id="11"/>
    </w:p>
    <w:p>
      <w:pPr>
        <w:pStyle w:val="98"/>
        <w:spacing w:line="440" w:lineRule="exact"/>
        <w:ind w:firstLine="480"/>
        <w:jc w:val="left"/>
        <w:rPr>
          <w:rFonts w:ascii="仿宋" w:hAnsi="仿宋" w:eastAsia="仿宋" w:cs="仿宋"/>
          <w:b w:val="0"/>
          <w:bCs w:val="0"/>
          <w:color w:val="auto"/>
          <w:highlight w:val="none"/>
        </w:rPr>
      </w:pPr>
      <w:r>
        <w:rPr>
          <w:rFonts w:hint="eastAsia" w:ascii="仿宋" w:hAnsi="仿宋" w:eastAsia="仿宋" w:cs="仿宋"/>
          <w:b w:val="0"/>
          <w:bCs w:val="0"/>
          <w:color w:val="auto"/>
          <w:highlight w:val="none"/>
        </w:rPr>
        <w:t>1.本招标文件仅适用于本次投标邀请中所叙述的项目。</w:t>
      </w:r>
    </w:p>
    <w:p>
      <w:pPr>
        <w:pStyle w:val="98"/>
        <w:spacing w:line="440" w:lineRule="exact"/>
        <w:ind w:firstLine="480"/>
        <w:jc w:val="left"/>
        <w:rPr>
          <w:rFonts w:ascii="仿宋" w:hAnsi="仿宋" w:eastAsia="仿宋" w:cs="仿宋"/>
          <w:b w:val="0"/>
          <w:bCs w:val="0"/>
          <w:color w:val="auto"/>
          <w:highlight w:val="none"/>
        </w:rPr>
      </w:pPr>
      <w:r>
        <w:rPr>
          <w:rFonts w:hint="eastAsia" w:ascii="仿宋" w:hAnsi="仿宋" w:eastAsia="仿宋" w:cs="仿宋"/>
          <w:b w:val="0"/>
          <w:bCs w:val="0"/>
          <w:color w:val="auto"/>
          <w:highlight w:val="none"/>
        </w:rPr>
        <w:t>2.招标要求</w:t>
      </w:r>
    </w:p>
    <w:p>
      <w:pPr>
        <w:pStyle w:val="98"/>
        <w:spacing w:line="440" w:lineRule="exact"/>
        <w:ind w:firstLine="480"/>
        <w:jc w:val="left"/>
        <w:rPr>
          <w:rFonts w:ascii="仿宋" w:hAnsi="仿宋" w:eastAsia="仿宋" w:cs="仿宋"/>
          <w:b w:val="0"/>
          <w:bCs w:val="0"/>
          <w:color w:val="auto"/>
          <w:highlight w:val="none"/>
        </w:rPr>
      </w:pPr>
      <w:r>
        <w:rPr>
          <w:rFonts w:hint="eastAsia" w:ascii="仿宋" w:hAnsi="仿宋" w:eastAsia="仿宋" w:cs="仿宋"/>
          <w:b w:val="0"/>
          <w:bCs w:val="0"/>
          <w:color w:val="auto"/>
          <w:highlight w:val="none"/>
        </w:rPr>
        <w:t>（1）投标人必须提交对招标文件实质性响应的投标文件。</w:t>
      </w:r>
    </w:p>
    <w:p>
      <w:pPr>
        <w:pStyle w:val="98"/>
        <w:spacing w:line="440" w:lineRule="exact"/>
        <w:ind w:firstLine="480"/>
        <w:jc w:val="left"/>
        <w:rPr>
          <w:rFonts w:ascii="仿宋" w:hAnsi="仿宋" w:eastAsia="仿宋" w:cs="仿宋"/>
          <w:b w:val="0"/>
          <w:bCs w:val="0"/>
          <w:color w:val="auto"/>
          <w:highlight w:val="none"/>
        </w:rPr>
      </w:pPr>
      <w:r>
        <w:rPr>
          <w:rFonts w:hint="eastAsia" w:ascii="仿宋" w:hAnsi="仿宋" w:eastAsia="仿宋" w:cs="仿宋"/>
          <w:b w:val="0"/>
          <w:bCs w:val="0"/>
          <w:color w:val="auto"/>
          <w:highlight w:val="none"/>
        </w:rPr>
        <w:t>（2）投标人的投标报价要按照招标文件规定的格式要求进行相应报价。</w:t>
      </w:r>
    </w:p>
    <w:p>
      <w:pPr>
        <w:pStyle w:val="98"/>
        <w:spacing w:line="440" w:lineRule="exact"/>
        <w:ind w:firstLine="480"/>
        <w:jc w:val="left"/>
        <w:rPr>
          <w:rFonts w:ascii="仿宋" w:hAnsi="仿宋" w:eastAsia="仿宋" w:cs="仿宋"/>
          <w:b w:val="0"/>
          <w:bCs w:val="0"/>
          <w:color w:val="auto"/>
          <w:highlight w:val="none"/>
        </w:rPr>
      </w:pPr>
      <w:r>
        <w:rPr>
          <w:rFonts w:hint="eastAsia" w:ascii="仿宋" w:hAnsi="仿宋" w:eastAsia="仿宋" w:cs="仿宋"/>
          <w:b w:val="0"/>
          <w:bCs w:val="0"/>
          <w:color w:val="auto"/>
          <w:highlight w:val="none"/>
        </w:rPr>
        <w:t>（3）投标人应保证货物是全新、未使用过的合格产品。并完全符合合同规定的质量、规格和性能的要求。中标人应保证所提供的货物经正确安装、正常运转和保养后，在其使用寿命期内应具有满意的性能。在货物质量保证期内卖方应对由于设计、工艺或者材料的缺陷而发生的任何不足或者故障负责。所投产品应提供详细的技术资料。</w:t>
      </w:r>
    </w:p>
    <w:p>
      <w:pPr>
        <w:pStyle w:val="98"/>
        <w:spacing w:line="440" w:lineRule="exact"/>
        <w:ind w:firstLine="480"/>
        <w:jc w:val="left"/>
        <w:rPr>
          <w:rFonts w:ascii="仿宋" w:hAnsi="仿宋" w:eastAsia="仿宋" w:cs="仿宋"/>
          <w:b w:val="0"/>
          <w:bCs w:val="0"/>
          <w:color w:val="auto"/>
          <w:highlight w:val="none"/>
        </w:rPr>
      </w:pPr>
      <w:r>
        <w:rPr>
          <w:rFonts w:hint="eastAsia" w:ascii="仿宋" w:hAnsi="仿宋" w:eastAsia="仿宋" w:cs="仿宋"/>
          <w:b w:val="0"/>
          <w:bCs w:val="0"/>
          <w:color w:val="auto"/>
          <w:highlight w:val="none"/>
        </w:rPr>
        <w:t>（4）投标人须提供投标货物的品牌、型号（配置），非标准化产品的配置应标识清楚，定制货物无品牌、型号的必须在报价明细表的“技术规格”栏内标明为“定制”。</w:t>
      </w:r>
    </w:p>
    <w:p>
      <w:pPr>
        <w:pStyle w:val="98"/>
        <w:spacing w:line="440" w:lineRule="exact"/>
        <w:ind w:firstLine="480"/>
        <w:jc w:val="left"/>
        <w:rPr>
          <w:rFonts w:ascii="仿宋" w:hAnsi="仿宋" w:eastAsia="仿宋" w:cs="仿宋"/>
          <w:b w:val="0"/>
          <w:bCs w:val="0"/>
          <w:color w:val="auto"/>
          <w:highlight w:val="none"/>
        </w:rPr>
      </w:pPr>
      <w:r>
        <w:rPr>
          <w:rFonts w:hint="eastAsia" w:ascii="仿宋" w:hAnsi="仿宋" w:eastAsia="仿宋" w:cs="仿宋"/>
          <w:b w:val="0"/>
          <w:bCs w:val="0"/>
          <w:color w:val="auto"/>
          <w:highlight w:val="none"/>
        </w:rPr>
        <w:t>（5）进口产品必须提供生产厂家针对本项目的授权。</w:t>
      </w:r>
    </w:p>
    <w:p>
      <w:pPr>
        <w:pStyle w:val="98"/>
        <w:spacing w:line="440" w:lineRule="exact"/>
        <w:ind w:firstLine="480"/>
        <w:jc w:val="left"/>
        <w:rPr>
          <w:rFonts w:ascii="仿宋" w:hAnsi="仿宋" w:eastAsia="仿宋" w:cs="仿宋"/>
          <w:b w:val="0"/>
          <w:bCs w:val="0"/>
          <w:color w:val="auto"/>
          <w:highlight w:val="none"/>
        </w:rPr>
      </w:pPr>
      <w:r>
        <w:rPr>
          <w:rFonts w:hint="eastAsia" w:ascii="仿宋" w:hAnsi="仿宋" w:eastAsia="仿宋" w:cs="仿宋"/>
          <w:b w:val="0"/>
          <w:bCs w:val="0"/>
          <w:color w:val="auto"/>
          <w:highlight w:val="none"/>
        </w:rPr>
        <w:t>（6）节能产品的优先采购和强制采购以财政部和发展改革委公布的最新“节能产品政府采购品目清单”中所列产品及相关规定为准。</w:t>
      </w:r>
    </w:p>
    <w:p>
      <w:pPr>
        <w:pStyle w:val="98"/>
        <w:spacing w:line="440" w:lineRule="exact"/>
        <w:ind w:firstLine="480"/>
        <w:jc w:val="left"/>
        <w:rPr>
          <w:rFonts w:ascii="仿宋" w:hAnsi="仿宋" w:eastAsia="仿宋" w:cs="仿宋"/>
          <w:b w:val="0"/>
          <w:bCs w:val="0"/>
          <w:color w:val="auto"/>
          <w:highlight w:val="none"/>
        </w:rPr>
      </w:pPr>
      <w:r>
        <w:rPr>
          <w:rFonts w:hint="eastAsia" w:ascii="仿宋" w:hAnsi="仿宋" w:eastAsia="仿宋" w:cs="仿宋"/>
          <w:b w:val="0"/>
          <w:bCs w:val="0"/>
          <w:color w:val="auto"/>
          <w:highlight w:val="none"/>
        </w:rPr>
        <w:t>（7）环境标志产品的优先采购以财政部和生态环境部公布的最新“环境标志产品政府采购品目清单”所列产品为准及相关规定为准。</w:t>
      </w:r>
    </w:p>
    <w:p>
      <w:pPr>
        <w:pStyle w:val="98"/>
        <w:spacing w:line="440" w:lineRule="exact"/>
        <w:ind w:firstLine="480"/>
        <w:jc w:val="left"/>
        <w:rPr>
          <w:rFonts w:ascii="仿宋" w:hAnsi="仿宋" w:eastAsia="仿宋" w:cs="仿宋"/>
          <w:b w:val="0"/>
          <w:bCs w:val="0"/>
          <w:color w:val="auto"/>
          <w:highlight w:val="none"/>
        </w:rPr>
      </w:pPr>
      <w:r>
        <w:rPr>
          <w:rFonts w:hint="eastAsia" w:ascii="仿宋" w:hAnsi="仿宋" w:eastAsia="仿宋" w:cs="仿宋"/>
          <w:b w:val="0"/>
          <w:bCs w:val="0"/>
          <w:color w:val="auto"/>
          <w:highlight w:val="none"/>
        </w:rPr>
        <w:t>（8）除非有特殊要求，招标文件不单独提供项目所在地的自然环境、气候条件、公用设施等情况，供应商被视为熟悉上述与履行合同有关的一切情况。</w:t>
      </w:r>
    </w:p>
    <w:p>
      <w:pPr>
        <w:pStyle w:val="98"/>
        <w:spacing w:line="440" w:lineRule="exact"/>
        <w:ind w:firstLine="480"/>
        <w:jc w:val="left"/>
        <w:rPr>
          <w:rFonts w:ascii="仿宋" w:hAnsi="仿宋" w:eastAsia="仿宋" w:cs="仿宋"/>
          <w:b w:val="0"/>
          <w:bCs w:val="0"/>
          <w:color w:val="auto"/>
          <w:highlight w:val="none"/>
        </w:rPr>
      </w:pPr>
      <w:r>
        <w:rPr>
          <w:rFonts w:hint="eastAsia" w:ascii="仿宋" w:hAnsi="仿宋" w:eastAsia="仿宋" w:cs="仿宋"/>
          <w:b w:val="0"/>
          <w:bCs w:val="0"/>
          <w:color w:val="auto"/>
          <w:highlight w:val="none"/>
        </w:rPr>
        <w:t>（9）投标人可对服务现场以及其范围环境进行考察，以获取有关编制响应文件和签署实施合同所需的各项资料，投标人应承担现场考察的费用、责任和风险。</w:t>
      </w:r>
    </w:p>
    <w:p>
      <w:pPr>
        <w:pStyle w:val="98"/>
        <w:spacing w:line="440" w:lineRule="exact"/>
        <w:ind w:firstLine="480"/>
        <w:jc w:val="left"/>
        <w:rPr>
          <w:rFonts w:ascii="仿宋" w:hAnsi="仿宋" w:eastAsia="仿宋" w:cs="仿宋"/>
          <w:b w:val="0"/>
          <w:bCs w:val="0"/>
          <w:color w:val="auto"/>
          <w:highlight w:val="none"/>
        </w:rPr>
      </w:pPr>
      <w:r>
        <w:rPr>
          <w:rFonts w:hint="eastAsia" w:ascii="仿宋" w:hAnsi="仿宋" w:eastAsia="仿宋" w:cs="仿宋"/>
          <w:b w:val="0"/>
          <w:bCs w:val="0"/>
          <w:color w:val="auto"/>
          <w:highlight w:val="none"/>
        </w:rPr>
        <w:t>（10）项目涉及软件产品的，必须采购和使用正版软件。</w:t>
      </w:r>
    </w:p>
    <w:p>
      <w:pPr>
        <w:pStyle w:val="98"/>
        <w:spacing w:line="440" w:lineRule="exact"/>
        <w:ind w:firstLine="480"/>
        <w:jc w:val="left"/>
        <w:rPr>
          <w:rFonts w:ascii="仿宋" w:hAnsi="仿宋" w:eastAsia="仿宋" w:cs="仿宋"/>
          <w:b w:val="0"/>
          <w:bCs w:val="0"/>
          <w:color w:val="auto"/>
          <w:highlight w:val="none"/>
        </w:rPr>
      </w:pPr>
      <w:r>
        <w:rPr>
          <w:rFonts w:hint="eastAsia" w:ascii="仿宋" w:hAnsi="仿宋" w:eastAsia="仿宋" w:cs="仿宋"/>
          <w:b w:val="0"/>
          <w:bCs w:val="0"/>
          <w:color w:val="auto"/>
          <w:highlight w:val="none"/>
        </w:rPr>
        <w:t>（11）项目所涉及的信息安全产品需经过国家相关认证。</w:t>
      </w:r>
    </w:p>
    <w:p>
      <w:pPr>
        <w:pStyle w:val="98"/>
        <w:spacing w:line="440" w:lineRule="exact"/>
        <w:ind w:firstLine="480"/>
        <w:jc w:val="left"/>
        <w:rPr>
          <w:rFonts w:ascii="仿宋" w:hAnsi="仿宋" w:eastAsia="仿宋" w:cs="仿宋"/>
          <w:b w:val="0"/>
          <w:bCs w:val="0"/>
          <w:color w:val="auto"/>
          <w:highlight w:val="none"/>
        </w:rPr>
      </w:pPr>
      <w:r>
        <w:rPr>
          <w:rFonts w:hint="eastAsia" w:ascii="仿宋" w:hAnsi="仿宋" w:eastAsia="仿宋" w:cs="仿宋"/>
          <w:b w:val="0"/>
          <w:bCs w:val="0"/>
          <w:color w:val="auto"/>
          <w:highlight w:val="none"/>
        </w:rPr>
        <w:t>（12）投标人应保证所提供给业主的资料和数据是真实的。</w:t>
      </w:r>
    </w:p>
    <w:p>
      <w:pPr>
        <w:pStyle w:val="98"/>
        <w:spacing w:line="440" w:lineRule="exact"/>
        <w:ind w:firstLine="480"/>
        <w:jc w:val="left"/>
        <w:rPr>
          <w:rFonts w:ascii="仿宋" w:hAnsi="仿宋" w:eastAsia="仿宋" w:cs="仿宋"/>
          <w:b w:val="0"/>
          <w:bCs w:val="0"/>
          <w:color w:val="auto"/>
          <w:highlight w:val="none"/>
        </w:rPr>
      </w:pPr>
      <w:r>
        <w:rPr>
          <w:rFonts w:hint="eastAsia" w:ascii="仿宋" w:hAnsi="仿宋" w:eastAsia="仿宋" w:cs="仿宋"/>
          <w:b w:val="0"/>
          <w:bCs w:val="0"/>
          <w:color w:val="auto"/>
          <w:highlight w:val="none"/>
        </w:rPr>
        <w:t>3.凡参加本次投标的投标人被视为已充分认识和理解了任何与本项目有关的事项及各种困难情况。</w:t>
      </w:r>
    </w:p>
    <w:p>
      <w:pPr>
        <w:pStyle w:val="98"/>
        <w:spacing w:line="440" w:lineRule="exact"/>
        <w:ind w:firstLine="480"/>
        <w:jc w:val="left"/>
        <w:rPr>
          <w:rFonts w:ascii="仿宋" w:hAnsi="仿宋" w:eastAsia="仿宋" w:cs="仿宋"/>
          <w:b w:val="0"/>
          <w:bCs w:val="0"/>
          <w:color w:val="auto"/>
          <w:highlight w:val="none"/>
        </w:rPr>
      </w:pPr>
      <w:r>
        <w:rPr>
          <w:rFonts w:hint="eastAsia" w:ascii="仿宋" w:hAnsi="仿宋" w:eastAsia="仿宋" w:cs="仿宋"/>
          <w:b w:val="0"/>
          <w:bCs w:val="0"/>
          <w:color w:val="auto"/>
          <w:highlight w:val="none"/>
        </w:rPr>
        <w:t>4.投标费用</w:t>
      </w:r>
    </w:p>
    <w:p>
      <w:pPr>
        <w:pStyle w:val="98"/>
        <w:spacing w:line="440" w:lineRule="exact"/>
        <w:ind w:firstLine="480"/>
        <w:jc w:val="left"/>
        <w:rPr>
          <w:rFonts w:ascii="仿宋" w:hAnsi="仿宋" w:eastAsia="仿宋" w:cs="仿宋"/>
          <w:b w:val="0"/>
          <w:bCs w:val="0"/>
          <w:color w:val="auto"/>
          <w:highlight w:val="none"/>
        </w:rPr>
      </w:pPr>
      <w:r>
        <w:rPr>
          <w:rFonts w:hint="eastAsia" w:ascii="仿宋" w:hAnsi="仿宋" w:eastAsia="仿宋" w:cs="仿宋"/>
          <w:b w:val="0"/>
          <w:bCs w:val="0"/>
          <w:color w:val="auto"/>
          <w:highlight w:val="none"/>
        </w:rPr>
        <w:t>投标人应承担所有与准备和参加投标有关的费用，不论投标的结果如何，招标方在任何情况下均无义务和责任承担这些费用。</w:t>
      </w:r>
    </w:p>
    <w:p>
      <w:pPr>
        <w:pStyle w:val="34"/>
        <w:spacing w:before="0" w:after="0" w:line="440" w:lineRule="exact"/>
        <w:ind w:firstLine="602" w:firstLineChars="200"/>
        <w:outlineLvl w:val="1"/>
        <w:rPr>
          <w:rFonts w:ascii="仿宋" w:hAnsi="仿宋" w:eastAsia="仿宋" w:cs="仿宋"/>
          <w:color w:val="auto"/>
          <w:sz w:val="30"/>
          <w:szCs w:val="30"/>
          <w:highlight w:val="none"/>
        </w:rPr>
      </w:pPr>
      <w:bookmarkStart w:id="12" w:name="_Toc489539216"/>
      <w:bookmarkStart w:id="13" w:name="_Toc325620704"/>
      <w:bookmarkStart w:id="14" w:name="_Toc8090"/>
      <w:r>
        <w:rPr>
          <w:rFonts w:hint="eastAsia" w:ascii="仿宋" w:hAnsi="仿宋" w:eastAsia="仿宋" w:cs="仿宋"/>
          <w:color w:val="auto"/>
          <w:sz w:val="30"/>
          <w:szCs w:val="30"/>
          <w:highlight w:val="none"/>
        </w:rPr>
        <w:t>二、定义</w:t>
      </w:r>
      <w:bookmarkEnd w:id="12"/>
      <w:bookmarkEnd w:id="13"/>
      <w:r>
        <w:rPr>
          <w:rFonts w:hint="eastAsia" w:ascii="仿宋" w:hAnsi="仿宋" w:eastAsia="仿宋" w:cs="仿宋"/>
          <w:color w:val="auto"/>
          <w:sz w:val="30"/>
          <w:szCs w:val="30"/>
          <w:highlight w:val="none"/>
        </w:rPr>
        <w:t>及解释</w:t>
      </w:r>
      <w:bookmarkEnd w:id="14"/>
    </w:p>
    <w:p>
      <w:pPr>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1.校内招标：是指招标人按照《</w:t>
      </w:r>
      <w:r>
        <w:rPr>
          <w:color w:val="auto"/>
          <w:highlight w:val="none"/>
        </w:rPr>
        <w:fldChar w:fldCharType="begin"/>
      </w:r>
      <w:r>
        <w:rPr>
          <w:color w:val="auto"/>
          <w:highlight w:val="none"/>
        </w:rPr>
        <w:instrText xml:space="preserve"> HYPERLINK "http://zb.upc.edu.cn/_upload/article/files/16/1a/fac7d1154ed29897ade859feb82e/b20d900b-9db8-4cb9-95a5-e9a2805ecbe6.pdf" \t "http://zb.upc.edu.cn/7768/_blank" \o "中国石油大学（华东）采购与招标管理办法" </w:instrText>
      </w:r>
      <w:r>
        <w:rPr>
          <w:color w:val="auto"/>
          <w:highlight w:val="none"/>
        </w:rPr>
        <w:fldChar w:fldCharType="separate"/>
      </w:r>
      <w:r>
        <w:rPr>
          <w:rFonts w:hint="eastAsia" w:ascii="仿宋" w:hAnsi="仿宋" w:eastAsia="仿宋" w:cs="仿宋"/>
          <w:color w:val="auto"/>
          <w:sz w:val="24"/>
          <w:szCs w:val="24"/>
          <w:highlight w:val="none"/>
        </w:rPr>
        <w:t>中国石油大学（华东）采购与招标管理办法</w:t>
      </w:r>
      <w:r>
        <w:rPr>
          <w:rFonts w:hint="eastAsia" w:ascii="仿宋" w:hAnsi="仿宋" w:eastAsia="仿宋" w:cs="仿宋"/>
          <w:color w:val="auto"/>
          <w:sz w:val="24"/>
          <w:szCs w:val="24"/>
          <w:highlight w:val="none"/>
        </w:rPr>
        <w:fldChar w:fldCharType="end"/>
      </w:r>
      <w:r>
        <w:rPr>
          <w:rFonts w:hint="eastAsia" w:ascii="仿宋" w:hAnsi="仿宋" w:eastAsia="仿宋" w:cs="仿宋"/>
          <w:color w:val="auto"/>
          <w:sz w:val="24"/>
          <w:szCs w:val="24"/>
          <w:highlight w:val="none"/>
        </w:rPr>
        <w:t>》《</w:t>
      </w:r>
      <w:r>
        <w:rPr>
          <w:color w:val="auto"/>
          <w:highlight w:val="none"/>
        </w:rPr>
        <w:fldChar w:fldCharType="begin"/>
      </w:r>
      <w:r>
        <w:rPr>
          <w:color w:val="auto"/>
          <w:highlight w:val="none"/>
        </w:rPr>
        <w:instrText xml:space="preserve"> HYPERLINK "http://zb.upc.edu.cn/_upload/article/files/31/62/7d44865148398c52710661f47a8d/256ffc75-6b15-4d1f-b433-20478dc4c70c.pdf" \t "http://zb.upc.edu.cn/7768/_blank" \o "中国石油大学（华东）学校集中采购管理实施细则" </w:instrText>
      </w:r>
      <w:r>
        <w:rPr>
          <w:color w:val="auto"/>
          <w:highlight w:val="none"/>
        </w:rPr>
        <w:fldChar w:fldCharType="separate"/>
      </w:r>
      <w:r>
        <w:rPr>
          <w:rFonts w:hint="eastAsia" w:ascii="仿宋" w:hAnsi="仿宋" w:eastAsia="仿宋" w:cs="仿宋"/>
          <w:color w:val="auto"/>
          <w:sz w:val="24"/>
          <w:szCs w:val="24"/>
          <w:highlight w:val="none"/>
        </w:rPr>
        <w:t>中国石油大学（华东）学校集中采购管理实施细则</w:t>
      </w:r>
      <w:r>
        <w:rPr>
          <w:rFonts w:hint="eastAsia" w:ascii="仿宋" w:hAnsi="仿宋" w:eastAsia="仿宋" w:cs="仿宋"/>
          <w:color w:val="auto"/>
          <w:sz w:val="24"/>
          <w:szCs w:val="24"/>
          <w:highlight w:val="none"/>
        </w:rPr>
        <w:fldChar w:fldCharType="end"/>
      </w:r>
      <w:r>
        <w:rPr>
          <w:rFonts w:hint="eastAsia" w:ascii="仿宋" w:hAnsi="仿宋" w:eastAsia="仿宋" w:cs="仿宋"/>
          <w:color w:val="auto"/>
          <w:sz w:val="24"/>
          <w:szCs w:val="24"/>
          <w:highlight w:val="none"/>
        </w:rPr>
        <w:t>》等学校管理规定，同时参照《中华人民共和国政府采购法》及其他相关法规，以招标公告的方式邀请不特定的法人或者其他组织投标。</w:t>
      </w:r>
    </w:p>
    <w:p>
      <w:pPr>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2.用户/招标人/甲方/需方/采购人：均指中国石油大学（华东）。</w:t>
      </w:r>
    </w:p>
    <w:p>
      <w:pPr>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3.投标人/供应商：是指响应招标、参加投标竞争的法人或者其他组织。</w:t>
      </w:r>
    </w:p>
    <w:p>
      <w:pPr>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4.中标人：是指由评审委员会综合评审的对招标文件做出实质性响应较强，综合实力最优，取得与用户签订合同资格的投标人。</w:t>
      </w:r>
    </w:p>
    <w:p>
      <w:pPr>
        <w:pStyle w:val="34"/>
        <w:spacing w:before="0" w:after="0" w:line="440" w:lineRule="exact"/>
        <w:ind w:firstLine="602" w:firstLineChars="200"/>
        <w:outlineLvl w:val="1"/>
        <w:rPr>
          <w:rFonts w:ascii="仿宋" w:hAnsi="仿宋" w:eastAsia="仿宋" w:cs="仿宋"/>
          <w:color w:val="auto"/>
          <w:sz w:val="30"/>
          <w:szCs w:val="30"/>
          <w:highlight w:val="none"/>
        </w:rPr>
      </w:pPr>
      <w:bookmarkStart w:id="15" w:name="_Toc489539217"/>
      <w:bookmarkStart w:id="16" w:name="_Toc325620705"/>
      <w:bookmarkStart w:id="17" w:name="_Toc17321"/>
      <w:r>
        <w:rPr>
          <w:rFonts w:hint="eastAsia" w:ascii="仿宋" w:hAnsi="仿宋" w:eastAsia="仿宋" w:cs="仿宋"/>
          <w:color w:val="auto"/>
          <w:sz w:val="30"/>
          <w:szCs w:val="30"/>
          <w:highlight w:val="none"/>
        </w:rPr>
        <w:t>三、</w:t>
      </w:r>
      <w:bookmarkEnd w:id="15"/>
      <w:bookmarkEnd w:id="16"/>
      <w:r>
        <w:rPr>
          <w:rFonts w:hint="eastAsia" w:ascii="仿宋" w:hAnsi="仿宋" w:eastAsia="仿宋" w:cs="仿宋"/>
          <w:color w:val="auto"/>
          <w:sz w:val="30"/>
          <w:szCs w:val="30"/>
          <w:highlight w:val="none"/>
        </w:rPr>
        <w:t>合格投标人</w:t>
      </w:r>
      <w:bookmarkEnd w:id="17"/>
    </w:p>
    <w:p>
      <w:pPr>
        <w:pStyle w:val="98"/>
        <w:spacing w:line="440" w:lineRule="exact"/>
        <w:ind w:firstLine="480"/>
        <w:jc w:val="left"/>
        <w:rPr>
          <w:rFonts w:ascii="仿宋" w:hAnsi="仿宋" w:eastAsia="仿宋" w:cs="仿宋"/>
          <w:b w:val="0"/>
          <w:bCs w:val="0"/>
          <w:color w:val="auto"/>
          <w:highlight w:val="none"/>
        </w:rPr>
      </w:pPr>
      <w:r>
        <w:rPr>
          <w:rFonts w:hint="eastAsia" w:ascii="仿宋" w:hAnsi="仿宋" w:eastAsia="仿宋" w:cs="仿宋"/>
          <w:b w:val="0"/>
          <w:bCs w:val="0"/>
          <w:color w:val="auto"/>
          <w:highlight w:val="none"/>
        </w:rPr>
        <w:t>与本项目招标公告供应商资格要求一致。</w:t>
      </w:r>
    </w:p>
    <w:p>
      <w:pPr>
        <w:pStyle w:val="34"/>
        <w:spacing w:before="0" w:after="0" w:line="440" w:lineRule="exact"/>
        <w:ind w:firstLine="602" w:firstLineChars="200"/>
        <w:outlineLvl w:val="1"/>
        <w:rPr>
          <w:rFonts w:ascii="仿宋" w:hAnsi="仿宋" w:eastAsia="仿宋" w:cs="仿宋"/>
          <w:color w:val="auto"/>
          <w:sz w:val="30"/>
          <w:szCs w:val="30"/>
          <w:highlight w:val="none"/>
        </w:rPr>
      </w:pPr>
      <w:bookmarkStart w:id="18" w:name="_Toc325620706"/>
      <w:bookmarkStart w:id="19" w:name="_Toc489539218"/>
      <w:bookmarkStart w:id="20" w:name="_Toc18825"/>
      <w:r>
        <w:rPr>
          <w:rFonts w:hint="eastAsia" w:ascii="仿宋" w:hAnsi="仿宋" w:eastAsia="仿宋" w:cs="仿宋"/>
          <w:color w:val="auto"/>
          <w:sz w:val="30"/>
          <w:szCs w:val="30"/>
          <w:highlight w:val="none"/>
        </w:rPr>
        <w:t>四、招标文件的澄清或修改</w:t>
      </w:r>
      <w:bookmarkEnd w:id="18"/>
      <w:bookmarkEnd w:id="19"/>
      <w:bookmarkEnd w:id="20"/>
    </w:p>
    <w:p>
      <w:pPr>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在投标文件提交截止时间前的任何时候，招标人可主动地或在解答投标人提出的需澄清的问题时对招标文件进行修改；澄清或者修改的内容可能影响招标文件编制的，招标人应保证潜在投标人具有不少于2日的时间准备投标文件编制。</w:t>
      </w:r>
    </w:p>
    <w:p>
      <w:pPr>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2.澄清或者修改的内容将以书面形式或者电子邮件形式通知所有投标人。所有方式澄清或修改的内容与招标文件具有同等法律效力，将被视为对所有投标供应商进行了有效通知。</w:t>
      </w:r>
    </w:p>
    <w:p>
      <w:pPr>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3.投标人在收到招标人发给的任何澄清和修改文件时，都应在收到后立即以书面形式加盖公章或电子邮件形式向招标人确认，如招标人在截止投标时间前未收到回传确认书，视为供应商已收到澄清修改文件。 </w:t>
      </w:r>
    </w:p>
    <w:p>
      <w:pPr>
        <w:pStyle w:val="34"/>
        <w:spacing w:before="0" w:after="0" w:line="440" w:lineRule="exact"/>
        <w:ind w:firstLine="602" w:firstLineChars="200"/>
        <w:outlineLvl w:val="1"/>
        <w:rPr>
          <w:rFonts w:ascii="仿宋" w:hAnsi="仿宋" w:eastAsia="仿宋" w:cs="仿宋"/>
          <w:color w:val="auto"/>
          <w:sz w:val="30"/>
          <w:szCs w:val="30"/>
          <w:highlight w:val="none"/>
        </w:rPr>
      </w:pPr>
      <w:bookmarkStart w:id="21" w:name="_Toc22640"/>
      <w:bookmarkStart w:id="22" w:name="_Toc22353"/>
      <w:bookmarkStart w:id="23" w:name="_Toc325620709"/>
      <w:bookmarkStart w:id="24" w:name="_Toc489539221"/>
      <w:r>
        <w:rPr>
          <w:rFonts w:hint="eastAsia" w:ascii="仿宋" w:hAnsi="仿宋" w:eastAsia="仿宋" w:cs="仿宋"/>
          <w:color w:val="auto"/>
          <w:sz w:val="30"/>
          <w:szCs w:val="30"/>
          <w:highlight w:val="none"/>
        </w:rPr>
        <w:t>五、投标文件的编制与提交</w:t>
      </w:r>
      <w:bookmarkEnd w:id="21"/>
      <w:bookmarkEnd w:id="22"/>
    </w:p>
    <w:p>
      <w:pPr>
        <w:tabs>
          <w:tab w:val="left" w:pos="540"/>
        </w:tabs>
        <w:spacing w:line="440" w:lineRule="exact"/>
        <w:ind w:firstLine="482" w:firstLineChars="200"/>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1.特别说明</w:t>
      </w:r>
    </w:p>
    <w:p>
      <w:pPr>
        <w:tabs>
          <w:tab w:val="left" w:pos="540"/>
        </w:tabs>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bCs/>
          <w:color w:val="auto"/>
          <w:sz w:val="24"/>
          <w:szCs w:val="24"/>
          <w:highlight w:val="none"/>
        </w:rPr>
        <w:t>（1）</w:t>
      </w:r>
      <w:r>
        <w:rPr>
          <w:rFonts w:hint="eastAsia" w:ascii="仿宋" w:hAnsi="仿宋" w:eastAsia="仿宋" w:cs="仿宋"/>
          <w:color w:val="auto"/>
          <w:sz w:val="24"/>
          <w:szCs w:val="24"/>
          <w:highlight w:val="none"/>
        </w:rPr>
        <w:t>投标人应详细阅读招标文件的全部内容。投标文件须对招标文件中的内容做出实质性和完整的响应，</w:t>
      </w:r>
      <w:r>
        <w:rPr>
          <w:rFonts w:hint="eastAsia" w:ascii="仿宋" w:hAnsi="仿宋" w:eastAsia="仿宋" w:cs="仿宋"/>
          <w:bCs/>
          <w:color w:val="auto"/>
          <w:sz w:val="24"/>
          <w:szCs w:val="24"/>
          <w:highlight w:val="none"/>
        </w:rPr>
        <w:t>本招</w:t>
      </w:r>
      <w:r>
        <w:rPr>
          <w:rFonts w:hint="eastAsia" w:ascii="仿宋" w:hAnsi="仿宋" w:eastAsia="仿宋" w:cs="仿宋"/>
          <w:color w:val="auto"/>
          <w:sz w:val="24"/>
          <w:szCs w:val="24"/>
          <w:highlight w:val="none"/>
        </w:rPr>
        <w:t>标文件的用户需求书中，最关键的技术、服务条款或商务要求（</w:t>
      </w:r>
      <w:r>
        <w:rPr>
          <w:rFonts w:hint="eastAsia" w:ascii="仿宋" w:hAnsi="仿宋" w:eastAsia="仿宋" w:cs="仿宋"/>
          <w:b/>
          <w:color w:val="auto"/>
          <w:sz w:val="24"/>
          <w:szCs w:val="24"/>
          <w:highlight w:val="none"/>
        </w:rPr>
        <w:t>加注“★”的条款</w:t>
      </w:r>
      <w:r>
        <w:rPr>
          <w:rFonts w:hint="eastAsia" w:ascii="仿宋" w:hAnsi="仿宋" w:eastAsia="仿宋" w:cs="仿宋"/>
          <w:color w:val="auto"/>
          <w:sz w:val="24"/>
          <w:szCs w:val="24"/>
          <w:highlight w:val="none"/>
        </w:rPr>
        <w:t>），投标人要特别注意，必须对此完全满足或优于这些要求。否则，若有一项重要指标未完全满足或存在负偏差，将判定为投标无效。</w:t>
      </w:r>
    </w:p>
    <w:p>
      <w:pPr>
        <w:tabs>
          <w:tab w:val="left" w:pos="540"/>
        </w:tabs>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bCs/>
          <w:color w:val="auto"/>
          <w:sz w:val="24"/>
          <w:szCs w:val="24"/>
          <w:highlight w:val="none"/>
        </w:rPr>
        <w:t>（2）投标人</w:t>
      </w:r>
      <w:r>
        <w:rPr>
          <w:rFonts w:hint="eastAsia" w:ascii="仿宋" w:hAnsi="仿宋" w:eastAsia="仿宋" w:cs="仿宋"/>
          <w:color w:val="auto"/>
          <w:sz w:val="24"/>
          <w:szCs w:val="24"/>
          <w:highlight w:val="none"/>
        </w:rPr>
        <w:t>应保证所提供的全部资料的真实性、准确性及完整性，如果投标文件填报的内容资料不详，或没有提供招标文件中所要求的全部资料及数据，投标文件将有可能被判定为投标无效。</w:t>
      </w:r>
    </w:p>
    <w:p>
      <w:pPr>
        <w:tabs>
          <w:tab w:val="left" w:pos="540"/>
        </w:tabs>
        <w:spacing w:line="440" w:lineRule="exact"/>
        <w:ind w:firstLine="482" w:firstLineChars="200"/>
        <w:jc w:val="left"/>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2.投标文件的语言及计量单位</w:t>
      </w:r>
    </w:p>
    <w:p>
      <w:pPr>
        <w:tabs>
          <w:tab w:val="left" w:pos="540"/>
        </w:tabs>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投标人就本项目交换的文件和来往信函使用中文。除招标文件的技术规格中另有规定外，投标文件中所使用的计量单位应使用中华人民共和国法定计量单位。</w:t>
      </w:r>
    </w:p>
    <w:p>
      <w:pPr>
        <w:tabs>
          <w:tab w:val="left" w:pos="540"/>
        </w:tabs>
        <w:spacing w:line="440" w:lineRule="exact"/>
        <w:ind w:firstLine="482" w:firstLineChars="200"/>
        <w:jc w:val="left"/>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3.投标文件的组成</w:t>
      </w:r>
    </w:p>
    <w:p>
      <w:pPr>
        <w:tabs>
          <w:tab w:val="left" w:pos="540"/>
        </w:tabs>
        <w:spacing w:line="440" w:lineRule="exact"/>
        <w:ind w:firstLine="480" w:firstLineChars="200"/>
        <w:jc w:val="left"/>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投标人编写的投标文件应包括，但不限于下列部分：</w:t>
      </w:r>
    </w:p>
    <w:p>
      <w:pPr>
        <w:tabs>
          <w:tab w:val="left" w:pos="540"/>
        </w:tabs>
        <w:spacing w:line="440" w:lineRule="exact"/>
        <w:ind w:firstLine="480" w:firstLineChars="200"/>
        <w:jc w:val="left"/>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（1）封面（附件1）</w:t>
      </w:r>
    </w:p>
    <w:p>
      <w:pPr>
        <w:tabs>
          <w:tab w:val="left" w:pos="540"/>
        </w:tabs>
        <w:spacing w:line="440" w:lineRule="exact"/>
        <w:ind w:firstLine="480" w:firstLineChars="200"/>
        <w:jc w:val="left"/>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（2）投标函（附件2）。</w:t>
      </w:r>
    </w:p>
    <w:p>
      <w:pPr>
        <w:tabs>
          <w:tab w:val="left" w:pos="540"/>
        </w:tabs>
        <w:spacing w:line="440" w:lineRule="exact"/>
        <w:ind w:firstLine="480" w:firstLineChars="200"/>
        <w:jc w:val="left"/>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（3）法定代表人身份证明或法定代表人授权委托书（附件3、附件4）。</w:t>
      </w:r>
    </w:p>
    <w:p>
      <w:pPr>
        <w:tabs>
          <w:tab w:val="left" w:pos="540"/>
        </w:tabs>
        <w:spacing w:line="440" w:lineRule="exact"/>
        <w:ind w:firstLine="480" w:firstLineChars="200"/>
        <w:jc w:val="left"/>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（4）报价一览表（附件5）。</w:t>
      </w:r>
    </w:p>
    <w:p>
      <w:pPr>
        <w:tabs>
          <w:tab w:val="left" w:pos="540"/>
        </w:tabs>
        <w:spacing w:line="440" w:lineRule="exact"/>
        <w:ind w:firstLine="480" w:firstLineChars="200"/>
        <w:jc w:val="left"/>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（5）报价明细表（附件6）。</w:t>
      </w:r>
    </w:p>
    <w:p>
      <w:pPr>
        <w:tabs>
          <w:tab w:val="left" w:pos="540"/>
        </w:tabs>
        <w:spacing w:line="440" w:lineRule="exact"/>
        <w:ind w:firstLine="480" w:firstLineChars="200"/>
        <w:jc w:val="left"/>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（6）备品备件报价表和随机专用工器具及易损件报价表（附件7）。</w:t>
      </w:r>
    </w:p>
    <w:p>
      <w:pPr>
        <w:tabs>
          <w:tab w:val="left" w:pos="540"/>
        </w:tabs>
        <w:spacing w:line="440" w:lineRule="exact"/>
        <w:ind w:firstLine="480" w:firstLineChars="200"/>
        <w:jc w:val="left"/>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（7）投标人法人证明文件（如“三证合一”的营业执照）及相关资质证书（投标文件内提供复印件并加盖投标人公章）。</w:t>
      </w:r>
    </w:p>
    <w:p>
      <w:pPr>
        <w:tabs>
          <w:tab w:val="left" w:pos="540"/>
        </w:tabs>
        <w:spacing w:line="440" w:lineRule="exact"/>
        <w:ind w:firstLine="480" w:firstLineChars="200"/>
        <w:jc w:val="left"/>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（8）投标人须提供缴纳税收证明和社会保障资金证明。</w:t>
      </w:r>
    </w:p>
    <w:p>
      <w:pPr>
        <w:tabs>
          <w:tab w:val="left" w:pos="540"/>
        </w:tabs>
        <w:spacing w:line="440" w:lineRule="exact"/>
        <w:ind w:firstLine="480" w:firstLineChars="200"/>
        <w:jc w:val="left"/>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缴纳税收的证明材料是指投标人参加采购活动前一段时间内缴纳税的凭据。缴纳社会保障资金的证明材料是指参加采购活动前一段时间内缴纳社会保险的凭据（专用收据或社会保险缴纳清单或社会保障网站的网上打印页）；其他组织和自然人也需要提供缴纳税收的凭据和缴纳社会保险的凭据；依法免税、不需要缴纳税收或不需要缴纳社会保障资金的投标人，应提供法定职能部门出据的相应文件证明其依法免税、不需要缴纳税收或不需要缴纳社会保障资金。（投标文件内提供复印件加盖投标人公章）。</w:t>
      </w:r>
    </w:p>
    <w:p>
      <w:pPr>
        <w:tabs>
          <w:tab w:val="left" w:pos="540"/>
        </w:tabs>
        <w:spacing w:line="440" w:lineRule="exact"/>
        <w:ind w:firstLine="480" w:firstLineChars="200"/>
        <w:jc w:val="left"/>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9）投标人须提供财务状况报告（提供具有法定资格的中介机构出具的供应商2019年度或2020年度完整的财务审计报告或提供最新一期财务会计报告，至少包括资产负债表、利润表等（投标文件内提供复印件加盖投标人公章）。</w:t>
      </w:r>
    </w:p>
    <w:p>
      <w:pPr>
        <w:tabs>
          <w:tab w:val="left" w:pos="540"/>
        </w:tabs>
        <w:spacing w:line="440" w:lineRule="exact"/>
        <w:ind w:firstLine="480" w:firstLineChars="200"/>
        <w:jc w:val="left"/>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（10）</w:t>
      </w:r>
      <w:r>
        <w:rPr>
          <w:rFonts w:hint="eastAsia" w:ascii="仿宋" w:hAnsi="仿宋" w:eastAsia="仿宋" w:cs="仿宋"/>
          <w:color w:val="auto"/>
          <w:sz w:val="24"/>
          <w:szCs w:val="24"/>
          <w:highlight w:val="none"/>
        </w:rPr>
        <w:t>“信用中国”网站（www.creditchina.gov.cn）和</w:t>
      </w:r>
      <w:r>
        <w:rPr>
          <w:rFonts w:hint="eastAsia" w:ascii="仿宋" w:hAnsi="仿宋" w:eastAsia="仿宋" w:cs="仿宋"/>
          <w:bCs/>
          <w:color w:val="auto"/>
          <w:sz w:val="24"/>
          <w:szCs w:val="24"/>
          <w:highlight w:val="none"/>
        </w:rPr>
        <w:t>中国政府采购网（www.ccgp.gov.cn）查询结果（网上截图加盖投标人公章）。</w:t>
      </w:r>
    </w:p>
    <w:p>
      <w:pPr>
        <w:tabs>
          <w:tab w:val="left" w:pos="540"/>
        </w:tabs>
        <w:spacing w:line="440" w:lineRule="exact"/>
        <w:ind w:firstLine="480" w:firstLineChars="200"/>
        <w:jc w:val="left"/>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（11）出具在经营活动中没有重大违法记录的书面声明（格式自拟）。</w:t>
      </w:r>
    </w:p>
    <w:p>
      <w:pPr>
        <w:tabs>
          <w:tab w:val="left" w:pos="540"/>
        </w:tabs>
        <w:spacing w:line="440" w:lineRule="exact"/>
        <w:ind w:firstLine="480" w:firstLineChars="200"/>
        <w:jc w:val="left"/>
        <w:rPr>
          <w:rFonts w:ascii="仿宋" w:hAnsi="仿宋" w:eastAsia="仿宋" w:cs="仿宋"/>
          <w:bCs/>
          <w:color w:val="auto"/>
          <w:sz w:val="32"/>
          <w:szCs w:val="32"/>
          <w:highlight w:val="none"/>
        </w:rPr>
      </w:pPr>
      <w:r>
        <w:rPr>
          <w:rFonts w:hint="eastAsia" w:ascii="仿宋" w:hAnsi="仿宋" w:eastAsia="仿宋" w:cs="仿宋"/>
          <w:bCs/>
          <w:color w:val="auto"/>
          <w:sz w:val="24"/>
          <w:szCs w:val="24"/>
          <w:highlight w:val="none"/>
        </w:rPr>
        <w:t>（12）投标人资格声明书（附件8）。</w:t>
      </w:r>
    </w:p>
    <w:p>
      <w:pPr>
        <w:tabs>
          <w:tab w:val="left" w:pos="540"/>
        </w:tabs>
        <w:spacing w:line="440" w:lineRule="exact"/>
        <w:ind w:firstLine="480" w:firstLineChars="200"/>
        <w:jc w:val="left"/>
        <w:rPr>
          <w:rFonts w:ascii="仿宋" w:hAnsi="仿宋" w:eastAsia="仿宋" w:cs="仿宋"/>
          <w:bCs/>
          <w:color w:val="auto"/>
          <w:sz w:val="24"/>
          <w:highlight w:val="none"/>
        </w:rPr>
      </w:pPr>
      <w:r>
        <w:rPr>
          <w:rFonts w:hint="eastAsia" w:ascii="仿宋" w:hAnsi="仿宋" w:eastAsia="仿宋" w:cs="仿宋"/>
          <w:bCs/>
          <w:color w:val="auto"/>
          <w:sz w:val="24"/>
          <w:szCs w:val="24"/>
          <w:highlight w:val="none"/>
        </w:rPr>
        <w:t>（13）</w:t>
      </w:r>
      <w:r>
        <w:rPr>
          <w:rFonts w:hint="eastAsia" w:ascii="仿宋" w:hAnsi="仿宋" w:eastAsia="仿宋" w:cs="仿宋"/>
          <w:bCs/>
          <w:color w:val="auto"/>
          <w:sz w:val="24"/>
          <w:highlight w:val="none"/>
        </w:rPr>
        <w:t>生产厂家出具的针对本项目的授权函（进口产品代理商必须提供，国内产品可不提供，但必须在投标文件内作出书面承诺（附件9），保证在签订合同时提交有效的书面授权函）。</w:t>
      </w:r>
    </w:p>
    <w:p>
      <w:pPr>
        <w:tabs>
          <w:tab w:val="left" w:pos="540"/>
        </w:tabs>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（14）节能、环保产品的资质证书或者证明文件（若有）。</w:t>
      </w:r>
    </w:p>
    <w:p>
      <w:pPr>
        <w:tabs>
          <w:tab w:val="left" w:pos="540"/>
        </w:tabs>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（15）招标公告及招标邀请中规定的投标人应该满足的资格要求的其他证明材料。</w:t>
      </w:r>
    </w:p>
    <w:p>
      <w:pPr>
        <w:tabs>
          <w:tab w:val="left" w:pos="540"/>
        </w:tabs>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（16）技术响应/偏离表（附件10）。</w:t>
      </w:r>
    </w:p>
    <w:p>
      <w:pPr>
        <w:tabs>
          <w:tab w:val="left" w:pos="540"/>
        </w:tabs>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（17）商务偏离表（附件11）。</w:t>
      </w:r>
    </w:p>
    <w:p>
      <w:pPr>
        <w:tabs>
          <w:tab w:val="left" w:pos="540"/>
        </w:tabs>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（18）投标产品的品牌型号（规格）、详细配置（包括硬件及软件）、主要技术指标及性能详细说明。</w:t>
      </w:r>
    </w:p>
    <w:p>
      <w:pPr>
        <w:tabs>
          <w:tab w:val="left" w:pos="540"/>
        </w:tabs>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（19）供货组织方案、产品安装和调试方案。</w:t>
      </w:r>
    </w:p>
    <w:p>
      <w:pPr>
        <w:tabs>
          <w:tab w:val="left" w:pos="540"/>
        </w:tabs>
        <w:spacing w:line="440" w:lineRule="exact"/>
        <w:ind w:firstLine="480" w:firstLineChars="200"/>
        <w:jc w:val="left"/>
        <w:rPr>
          <w:rFonts w:ascii="仿宋" w:hAnsi="仿宋" w:eastAsia="仿宋" w:cs="仿宋"/>
          <w:color w:val="auto"/>
          <w:sz w:val="32"/>
          <w:szCs w:val="32"/>
          <w:highlight w:val="none"/>
        </w:rPr>
      </w:pPr>
      <w:r>
        <w:rPr>
          <w:rFonts w:hint="eastAsia" w:ascii="仿宋" w:hAnsi="仿宋" w:eastAsia="仿宋" w:cs="仿宋"/>
          <w:color w:val="auto"/>
          <w:sz w:val="24"/>
          <w:szCs w:val="24"/>
          <w:highlight w:val="none"/>
        </w:rPr>
        <w:t>（20）售后服务（包含故障响应、技术培训、技术支持等）方案。</w:t>
      </w:r>
    </w:p>
    <w:p>
      <w:pPr>
        <w:tabs>
          <w:tab w:val="left" w:pos="540"/>
        </w:tabs>
        <w:spacing w:line="440" w:lineRule="exact"/>
        <w:ind w:firstLine="480" w:firstLineChars="200"/>
        <w:jc w:val="left"/>
        <w:rPr>
          <w:rFonts w:ascii="仿宋" w:hAnsi="仿宋" w:eastAsia="仿宋" w:cs="仿宋"/>
          <w:bCs/>
          <w:color w:val="auto"/>
          <w:sz w:val="24"/>
          <w:szCs w:val="24"/>
          <w:highlight w:val="none"/>
        </w:rPr>
      </w:pPr>
      <w:r>
        <w:rPr>
          <w:rFonts w:hint="eastAsia" w:ascii="仿宋" w:hAnsi="仿宋" w:eastAsia="仿宋" w:cs="仿宋"/>
          <w:color w:val="auto"/>
          <w:sz w:val="24"/>
          <w:szCs w:val="24"/>
          <w:highlight w:val="none"/>
        </w:rPr>
        <w:t>（21）彩页等技术证明材料。</w:t>
      </w:r>
    </w:p>
    <w:p>
      <w:pPr>
        <w:tabs>
          <w:tab w:val="left" w:pos="540"/>
        </w:tabs>
        <w:spacing w:line="440" w:lineRule="exact"/>
        <w:ind w:firstLine="480" w:firstLineChars="200"/>
        <w:jc w:val="left"/>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（22）所投产品最近三年内销售清单（附件12）。</w:t>
      </w:r>
    </w:p>
    <w:p>
      <w:pPr>
        <w:tabs>
          <w:tab w:val="left" w:pos="540"/>
        </w:tabs>
        <w:spacing w:line="440" w:lineRule="exact"/>
        <w:ind w:firstLine="480" w:firstLineChars="200"/>
        <w:jc w:val="left"/>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（23）投标人最近三年内完成的类似或相同项目业绩清单，对其中所列的主要项目应附合同（主要关键页）复印件（附件13）。</w:t>
      </w:r>
    </w:p>
    <w:p>
      <w:pPr>
        <w:tabs>
          <w:tab w:val="left" w:pos="540"/>
        </w:tabs>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（24）投标人企业简介。</w:t>
      </w:r>
    </w:p>
    <w:p>
      <w:pPr>
        <w:tabs>
          <w:tab w:val="left" w:pos="540"/>
        </w:tabs>
        <w:spacing w:line="440" w:lineRule="exact"/>
        <w:ind w:firstLine="480" w:firstLineChars="200"/>
        <w:jc w:val="left"/>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（25）投标人认为需加以说明的其他内容。</w:t>
      </w:r>
    </w:p>
    <w:p>
      <w:pPr>
        <w:tabs>
          <w:tab w:val="left" w:pos="540"/>
        </w:tabs>
        <w:spacing w:line="440" w:lineRule="exact"/>
        <w:ind w:firstLine="480" w:firstLineChars="200"/>
        <w:jc w:val="left"/>
        <w:rPr>
          <w:rFonts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以上资料均无需提供原件，投标文件中所提供复印件应按以上顺序进行装订，并加盖公章。</w:t>
      </w:r>
    </w:p>
    <w:p>
      <w:pPr>
        <w:tabs>
          <w:tab w:val="left" w:pos="540"/>
        </w:tabs>
        <w:spacing w:line="440" w:lineRule="exact"/>
        <w:ind w:firstLine="482" w:firstLineChars="200"/>
        <w:jc w:val="left"/>
        <w:rPr>
          <w:rFonts w:ascii="仿宋" w:hAnsi="仿宋" w:eastAsia="仿宋" w:cs="仿宋"/>
          <w:bCs/>
          <w:color w:val="auto"/>
          <w:sz w:val="24"/>
          <w:szCs w:val="24"/>
          <w:highlight w:val="none"/>
        </w:rPr>
      </w:pPr>
      <w:r>
        <w:rPr>
          <w:rFonts w:hint="eastAsia" w:ascii="仿宋" w:hAnsi="仿宋" w:eastAsia="仿宋" w:cs="仿宋"/>
          <w:b/>
          <w:bCs/>
          <w:color w:val="auto"/>
          <w:sz w:val="24"/>
          <w:szCs w:val="24"/>
          <w:highlight w:val="none"/>
        </w:rPr>
        <w:t>其中（7）-（13）项为资格审查资料，未按要求提供视为无效投标。</w:t>
      </w:r>
    </w:p>
    <w:p>
      <w:pPr>
        <w:spacing w:line="440" w:lineRule="exact"/>
        <w:ind w:firstLine="482" w:firstLineChars="200"/>
        <w:jc w:val="left"/>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4.投标报价说明</w:t>
      </w:r>
    </w:p>
    <w:p>
      <w:pPr>
        <w:tabs>
          <w:tab w:val="left" w:pos="840"/>
        </w:tabs>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（1）本次投标报价为一次性报价；不接受投标备选方案或多个报价。</w:t>
      </w:r>
    </w:p>
    <w:p>
      <w:pPr>
        <w:tabs>
          <w:tab w:val="left" w:pos="840"/>
        </w:tabs>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报价中应已包括投标所有货物的制造或采购、包装、税费、运输、安装调试（如招标文件未特别说明，安装调试是指必须包含保证货物可以独立正常运行所需的相关线材、人工等所有预见或不可预见的费用）、保险以及质保期内的质量保证和技术服务（包括技术资料、图纸的提供）等全部费用。</w:t>
      </w:r>
    </w:p>
    <w:p>
      <w:pPr>
        <w:tabs>
          <w:tab w:val="left" w:pos="360"/>
          <w:tab w:val="left" w:pos="840"/>
        </w:tabs>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供应商从中华人民共和国境内提供的货物和服务须用人民币报价。从中华人民共和国境外提供的货物，且能够办理免税的用美元报价（CIP青岛），签订合同时按照美元价格签订，评标时按换算出的人民币价格进行报价评审，汇率按开标前三日中国银行公布的美元现钞卖出价。</w:t>
      </w:r>
    </w:p>
    <w:p>
      <w:pPr>
        <w:tabs>
          <w:tab w:val="left" w:pos="360"/>
          <w:tab w:val="left" w:pos="840"/>
        </w:tabs>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进口货物如有国内配套部分，则进口部分按照美元报价，国内配套部分按照人民币报价。</w:t>
      </w:r>
    </w:p>
    <w:p>
      <w:pPr>
        <w:tabs>
          <w:tab w:val="left" w:pos="360"/>
          <w:tab w:val="left" w:pos="840"/>
        </w:tabs>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本项目预算包含境外货物和服务的外贸代理费用，外贸代理服务由采购人委托专门公司另行办理，其费用如下：</w:t>
      </w:r>
    </w:p>
    <w:p>
      <w:pPr>
        <w:tabs>
          <w:tab w:val="left" w:pos="360"/>
          <w:tab w:val="left" w:pos="840"/>
        </w:tabs>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5万美元以下：1美元汇率+0.3；</w:t>
      </w:r>
    </w:p>
    <w:p>
      <w:pPr>
        <w:tabs>
          <w:tab w:val="left" w:pos="360"/>
          <w:tab w:val="left" w:pos="840"/>
        </w:tabs>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5-20万美元：1美元汇率+0.25；</w:t>
      </w:r>
    </w:p>
    <w:p>
      <w:pPr>
        <w:tabs>
          <w:tab w:val="left" w:pos="360"/>
          <w:tab w:val="left" w:pos="840"/>
        </w:tabs>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20万美元以上：1美元汇率+0.2。</w:t>
      </w:r>
    </w:p>
    <w:p>
      <w:pPr>
        <w:tabs>
          <w:tab w:val="left" w:pos="360"/>
          <w:tab w:val="left" w:pos="840"/>
        </w:tabs>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评标时报价评审按人民币价格进行，美元价格按以下方法进行换算：（开标前三日中国银行公布的美元现钞卖出单价+不同金额下外贸代理费1美元增加汇率）×美元报价。</w:t>
      </w:r>
    </w:p>
    <w:p>
      <w:pPr>
        <w:tabs>
          <w:tab w:val="left" w:pos="360"/>
          <w:tab w:val="left" w:pos="840"/>
        </w:tabs>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注：①汇率按开标前三日，中国银行公布的美元现钞卖出价换算。</w:t>
      </w:r>
    </w:p>
    <w:p>
      <w:pPr>
        <w:tabs>
          <w:tab w:val="left" w:pos="360"/>
          <w:tab w:val="left" w:pos="840"/>
        </w:tabs>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②开标前三日是指：以响应文件提交截止时间开始计算，每24小时为一日，往前计算三日。（外币报价不含外贸代理费，按照上述约定的汇率折算为人民币，再加上外贸代理费，计算报价是否超预算）。</w:t>
      </w:r>
    </w:p>
    <w:p>
      <w:pPr>
        <w:tabs>
          <w:tab w:val="left" w:pos="360"/>
          <w:tab w:val="left" w:pos="840"/>
        </w:tabs>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③使用欧元报价的，执行上述规定。</w:t>
      </w:r>
    </w:p>
    <w:p>
      <w:pPr>
        <w:tabs>
          <w:tab w:val="left" w:pos="360"/>
          <w:tab w:val="left" w:pos="840"/>
        </w:tabs>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（4）投标人所报的投标价在合同执行期间是固定不变的，不以任何理由予以变更。</w:t>
      </w:r>
    </w:p>
    <w:p>
      <w:pPr>
        <w:tabs>
          <w:tab w:val="left" w:pos="840"/>
        </w:tabs>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（5）单独密封的报价一览表与投标文件中的报价一览表有差异，作无效投标处理；投标文件中的报价一览表与报价明细表内容不一致的，以报价一览表为准。</w:t>
      </w:r>
    </w:p>
    <w:p>
      <w:pPr>
        <w:tabs>
          <w:tab w:val="left" w:pos="840"/>
        </w:tabs>
        <w:spacing w:line="440" w:lineRule="exact"/>
        <w:ind w:firstLine="480" w:firstLineChars="200"/>
        <w:jc w:val="left"/>
        <w:rPr>
          <w:rFonts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（6）投标人须提供分项单价和报价总价。</w:t>
      </w:r>
    </w:p>
    <w:p>
      <w:pPr>
        <w:spacing w:line="440" w:lineRule="exact"/>
        <w:ind w:firstLine="482" w:firstLineChars="200"/>
        <w:jc w:val="left"/>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5.投标文件的打印及装订</w:t>
      </w:r>
    </w:p>
    <w:p>
      <w:pPr>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kern w:val="0"/>
          <w:sz w:val="24"/>
          <w:szCs w:val="24"/>
          <w:highlight w:val="none"/>
        </w:rPr>
        <w:t>投标文件1份正本5份副本，并在投标文件封面标明正本或副本，</w:t>
      </w:r>
      <w:r>
        <w:rPr>
          <w:rFonts w:hint="eastAsia" w:ascii="仿宋" w:hAnsi="仿宋" w:eastAsia="仿宋" w:cs="仿宋"/>
          <w:color w:val="auto"/>
          <w:sz w:val="24"/>
          <w:szCs w:val="24"/>
          <w:highlight w:val="none"/>
        </w:rPr>
        <w:t>用A4幅面的纸张打印。</w:t>
      </w:r>
      <w:r>
        <w:rPr>
          <w:rFonts w:hint="eastAsia" w:ascii="仿宋" w:hAnsi="仿宋" w:eastAsia="仿宋" w:cs="仿宋"/>
          <w:color w:val="auto"/>
          <w:sz w:val="24"/>
          <w:highlight w:val="none"/>
          <w:lang w:val="zh-CN"/>
        </w:rPr>
        <w:t>电子版投标文件</w:t>
      </w: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zh-CN"/>
        </w:rPr>
        <w:t>套：内容与纸质投标文件正本一致，格式：</w:t>
      </w:r>
      <w:r>
        <w:rPr>
          <w:rFonts w:hint="eastAsia" w:ascii="仿宋" w:hAnsi="仿宋" w:eastAsia="仿宋" w:cs="仿宋"/>
          <w:b/>
          <w:bCs/>
          <w:color w:val="auto"/>
          <w:sz w:val="24"/>
          <w:highlight w:val="none"/>
        </w:rPr>
        <w:t>word格式和盖章</w:t>
      </w:r>
      <w:r>
        <w:rPr>
          <w:rFonts w:hint="eastAsia" w:ascii="仿宋" w:hAnsi="仿宋" w:eastAsia="仿宋" w:cs="仿宋"/>
          <w:b/>
          <w:bCs/>
          <w:color w:val="auto"/>
          <w:sz w:val="24"/>
          <w:highlight w:val="none"/>
          <w:lang w:val="zh-CN"/>
        </w:rPr>
        <w:t>PDF格式</w:t>
      </w:r>
      <w:r>
        <w:rPr>
          <w:rFonts w:hint="eastAsia" w:ascii="仿宋" w:hAnsi="仿宋" w:eastAsia="仿宋" w:cs="仿宋"/>
          <w:b/>
          <w:bCs/>
          <w:color w:val="auto"/>
          <w:sz w:val="24"/>
          <w:highlight w:val="none"/>
        </w:rPr>
        <w:t>各一份</w:t>
      </w:r>
      <w:r>
        <w:rPr>
          <w:rFonts w:hint="eastAsia" w:ascii="仿宋" w:hAnsi="仿宋" w:eastAsia="仿宋" w:cs="仿宋"/>
          <w:color w:val="auto"/>
          <w:sz w:val="24"/>
          <w:highlight w:val="none"/>
          <w:lang w:val="zh-CN"/>
        </w:rPr>
        <w:t>；介质：“U”盘或者光盘。</w:t>
      </w:r>
    </w:p>
    <w:p>
      <w:pPr>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（2）“报价一览表”用A4幅面的纸张打印。</w:t>
      </w:r>
    </w:p>
    <w:p>
      <w:pPr>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（3）投标文件的装订必须为</w:t>
      </w:r>
      <w:r>
        <w:rPr>
          <w:rFonts w:hint="eastAsia" w:ascii="仿宋" w:hAnsi="仿宋" w:eastAsia="仿宋" w:cs="仿宋"/>
          <w:b/>
          <w:color w:val="auto"/>
          <w:sz w:val="24"/>
          <w:szCs w:val="24"/>
          <w:highlight w:val="none"/>
        </w:rPr>
        <w:t>胶装</w:t>
      </w:r>
      <w:r>
        <w:rPr>
          <w:rFonts w:hint="eastAsia" w:ascii="仿宋" w:hAnsi="仿宋" w:eastAsia="仿宋" w:cs="仿宋"/>
          <w:color w:val="auto"/>
          <w:sz w:val="24"/>
          <w:szCs w:val="24"/>
          <w:highlight w:val="none"/>
        </w:rPr>
        <w:t>。</w:t>
      </w:r>
    </w:p>
    <w:p>
      <w:pPr>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（4）标书内容一律用计算机打印（签名除外），不得涂改。</w:t>
      </w:r>
    </w:p>
    <w:p>
      <w:pPr>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（5）投标文件中资料排版必须按照招标文件要求顺序排列，并连续标记页码（彩页等资料除外）。</w:t>
      </w:r>
    </w:p>
    <w:p>
      <w:pPr>
        <w:spacing w:line="440" w:lineRule="exact"/>
        <w:ind w:firstLine="482" w:firstLineChars="200"/>
        <w:jc w:val="left"/>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6.投标文件的密封和标记</w:t>
      </w:r>
    </w:p>
    <w:p>
      <w:pPr>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投标人应将投标文件密封，在封口处加盖单位公章并在封面明显处注明项目编号、项目名称、投标人名称（加盖公章）。</w:t>
      </w:r>
    </w:p>
    <w:p>
      <w:pPr>
        <w:spacing w:line="440" w:lineRule="exact"/>
        <w:ind w:firstLine="482" w:firstLineChars="200"/>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7.投标文件的提交</w:t>
      </w:r>
    </w:p>
    <w:p>
      <w:pPr>
        <w:spacing w:line="440" w:lineRule="exact"/>
        <w:ind w:firstLine="480" w:firstLineChars="200"/>
        <w:jc w:val="left"/>
        <w:rPr>
          <w:rFonts w:ascii="仿宋" w:hAnsi="仿宋" w:eastAsia="仿宋" w:cs="仿宋"/>
          <w:b/>
          <w:color w:val="auto"/>
          <w:sz w:val="24"/>
          <w:szCs w:val="24"/>
          <w:highlight w:val="none"/>
        </w:rPr>
      </w:pPr>
      <w:r>
        <w:rPr>
          <w:rFonts w:hint="eastAsia" w:ascii="仿宋" w:hAnsi="仿宋" w:eastAsia="仿宋" w:cs="仿宋"/>
          <w:color w:val="auto"/>
          <w:sz w:val="24"/>
          <w:szCs w:val="24"/>
          <w:highlight w:val="none"/>
        </w:rPr>
        <w:t>（1）投标人授权代表必须在投标文件提交截止时间前将投标文件及样品送达指定地点。如因特殊原因需推迟投标文件提交截止时间的，则按招标人另行通知规定的时间提交。</w:t>
      </w:r>
    </w:p>
    <w:p>
      <w:pPr>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（2）在投标文件提交截止时间后提交的投标文件以及传真、电子邮件等方式的投标文件概不接收。</w:t>
      </w:r>
    </w:p>
    <w:p>
      <w:pPr>
        <w:spacing w:line="440" w:lineRule="exact"/>
        <w:ind w:firstLine="480" w:firstLineChars="200"/>
        <w:jc w:val="left"/>
        <w:rPr>
          <w:rFonts w:ascii="仿宋" w:hAnsi="仿宋" w:eastAsia="仿宋" w:cs="仿宋"/>
          <w:strike/>
          <w:color w:val="auto"/>
          <w:sz w:val="24"/>
          <w:szCs w:val="24"/>
          <w:highlight w:val="none"/>
        </w:rPr>
      </w:pPr>
      <w:r>
        <w:rPr>
          <w:rFonts w:hint="eastAsia" w:ascii="仿宋" w:hAnsi="仿宋" w:eastAsia="仿宋" w:cs="仿宋"/>
          <w:color w:val="auto"/>
          <w:sz w:val="24"/>
          <w:szCs w:val="24"/>
          <w:highlight w:val="none"/>
        </w:rPr>
        <w:t>（3）已进入评审环节的投标文件不予退还。</w:t>
      </w:r>
    </w:p>
    <w:bookmarkEnd w:id="23"/>
    <w:bookmarkEnd w:id="24"/>
    <w:p>
      <w:pPr>
        <w:pStyle w:val="34"/>
        <w:spacing w:before="0" w:after="0" w:line="440" w:lineRule="exact"/>
        <w:ind w:firstLine="602" w:firstLineChars="200"/>
        <w:outlineLvl w:val="1"/>
        <w:rPr>
          <w:rFonts w:ascii="仿宋" w:hAnsi="仿宋" w:eastAsia="仿宋" w:cs="仿宋"/>
          <w:color w:val="auto"/>
          <w:sz w:val="30"/>
          <w:szCs w:val="30"/>
          <w:highlight w:val="none"/>
        </w:rPr>
      </w:pPr>
      <w:bookmarkStart w:id="25" w:name="_Toc11225"/>
      <w:bookmarkStart w:id="26" w:name="_Toc325620708"/>
      <w:bookmarkStart w:id="27" w:name="_Toc9751"/>
      <w:bookmarkStart w:id="28" w:name="_Toc489539220"/>
      <w:bookmarkStart w:id="29" w:name="_Toc489539223"/>
      <w:bookmarkStart w:id="30" w:name="_Toc325620711"/>
      <w:r>
        <w:rPr>
          <w:rFonts w:hint="eastAsia" w:ascii="仿宋" w:hAnsi="仿宋" w:eastAsia="仿宋" w:cs="仿宋"/>
          <w:color w:val="auto"/>
          <w:sz w:val="30"/>
          <w:szCs w:val="30"/>
          <w:highlight w:val="none"/>
        </w:rPr>
        <w:t>六、投标有效期</w:t>
      </w:r>
      <w:bookmarkEnd w:id="25"/>
      <w:bookmarkEnd w:id="26"/>
      <w:bookmarkEnd w:id="27"/>
      <w:bookmarkEnd w:id="28"/>
    </w:p>
    <w:p>
      <w:pPr>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投标有效期为90日。投标有效期比规定的有效期短的，将被视为非响应文件而拒绝。特殊情况下，在有效期满之前，招标人可以以书面形式要求投标人同意延长投标有效期。</w:t>
      </w:r>
    </w:p>
    <w:p>
      <w:pPr>
        <w:pStyle w:val="34"/>
        <w:spacing w:before="0" w:after="0" w:line="440" w:lineRule="exact"/>
        <w:ind w:firstLine="602" w:firstLineChars="200"/>
        <w:outlineLvl w:val="1"/>
        <w:rPr>
          <w:rFonts w:ascii="仿宋" w:hAnsi="仿宋" w:eastAsia="仿宋" w:cs="仿宋"/>
          <w:color w:val="auto"/>
          <w:sz w:val="30"/>
          <w:szCs w:val="30"/>
          <w:highlight w:val="none"/>
        </w:rPr>
      </w:pPr>
      <w:bookmarkStart w:id="31" w:name="_Toc15080"/>
      <w:bookmarkStart w:id="32" w:name="_Toc31291"/>
      <w:r>
        <w:rPr>
          <w:rFonts w:hint="eastAsia" w:ascii="仿宋" w:hAnsi="仿宋" w:eastAsia="仿宋" w:cs="仿宋"/>
          <w:color w:val="auto"/>
          <w:sz w:val="30"/>
          <w:szCs w:val="30"/>
          <w:highlight w:val="none"/>
        </w:rPr>
        <w:t>七、投标费用</w:t>
      </w:r>
      <w:bookmarkEnd w:id="31"/>
      <w:bookmarkEnd w:id="32"/>
    </w:p>
    <w:p>
      <w:pPr>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1.投标人自行承担参与本次项目的所有费用；</w:t>
      </w:r>
    </w:p>
    <w:p>
      <w:pPr>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2.中标人在签订合同前，向山东盛和招标代理有限公司交纳中标金额*0.975%中标服务费。</w:t>
      </w:r>
    </w:p>
    <w:p>
      <w:pPr>
        <w:pStyle w:val="34"/>
        <w:spacing w:before="0" w:after="0" w:line="440" w:lineRule="exact"/>
        <w:ind w:firstLine="602" w:firstLineChars="200"/>
        <w:outlineLvl w:val="1"/>
        <w:rPr>
          <w:rFonts w:ascii="仿宋" w:hAnsi="仿宋" w:eastAsia="仿宋" w:cs="仿宋"/>
          <w:color w:val="auto"/>
          <w:sz w:val="30"/>
          <w:szCs w:val="30"/>
          <w:highlight w:val="none"/>
        </w:rPr>
      </w:pPr>
      <w:bookmarkStart w:id="33" w:name="_Toc503"/>
      <w:bookmarkStart w:id="34" w:name="_Toc325620710"/>
      <w:bookmarkStart w:id="35" w:name="_Toc489539222"/>
      <w:bookmarkStart w:id="36" w:name="_Toc16049"/>
      <w:r>
        <w:rPr>
          <w:rFonts w:hint="eastAsia" w:ascii="仿宋" w:hAnsi="仿宋" w:eastAsia="仿宋" w:cs="仿宋"/>
          <w:color w:val="auto"/>
          <w:sz w:val="30"/>
          <w:szCs w:val="30"/>
          <w:highlight w:val="none"/>
        </w:rPr>
        <w:t>八、投标保证金</w:t>
      </w:r>
      <w:bookmarkEnd w:id="33"/>
      <w:bookmarkEnd w:id="34"/>
      <w:bookmarkEnd w:id="35"/>
      <w:bookmarkEnd w:id="36"/>
    </w:p>
    <w:p>
      <w:pPr>
        <w:snapToGrid w:val="0"/>
        <w:spacing w:line="440" w:lineRule="exact"/>
        <w:ind w:left="48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本项目不需要缴纳投标保证金。</w:t>
      </w:r>
    </w:p>
    <w:p>
      <w:pPr>
        <w:pStyle w:val="34"/>
        <w:spacing w:before="0" w:after="0" w:line="440" w:lineRule="exact"/>
        <w:ind w:firstLine="602" w:firstLineChars="200"/>
        <w:outlineLvl w:val="1"/>
        <w:rPr>
          <w:rFonts w:ascii="仿宋" w:hAnsi="仿宋" w:eastAsia="仿宋" w:cs="仿宋"/>
          <w:color w:val="auto"/>
          <w:sz w:val="44"/>
          <w:szCs w:val="44"/>
          <w:highlight w:val="none"/>
        </w:rPr>
      </w:pPr>
      <w:bookmarkStart w:id="37" w:name="_Toc27642"/>
      <w:r>
        <w:rPr>
          <w:rFonts w:hint="eastAsia" w:ascii="仿宋" w:hAnsi="仿宋" w:eastAsia="仿宋" w:cs="仿宋"/>
          <w:color w:val="auto"/>
          <w:sz w:val="30"/>
          <w:szCs w:val="30"/>
          <w:highlight w:val="none"/>
        </w:rPr>
        <w:t>九、</w:t>
      </w:r>
      <w:bookmarkEnd w:id="29"/>
      <w:bookmarkEnd w:id="30"/>
      <w:r>
        <w:rPr>
          <w:rFonts w:hint="eastAsia" w:ascii="仿宋" w:hAnsi="仿宋" w:eastAsia="仿宋" w:cs="仿宋"/>
          <w:color w:val="auto"/>
          <w:sz w:val="30"/>
          <w:szCs w:val="30"/>
          <w:highlight w:val="none"/>
        </w:rPr>
        <w:t>投标无效</w:t>
      </w:r>
      <w:bookmarkEnd w:id="37"/>
    </w:p>
    <w:p>
      <w:pPr>
        <w:spacing w:line="440" w:lineRule="exact"/>
        <w:ind w:firstLine="480" w:firstLineChars="200"/>
        <w:jc w:val="left"/>
        <w:rPr>
          <w:rFonts w:ascii="仿宋" w:hAnsi="仿宋" w:eastAsia="仿宋" w:cs="仿宋"/>
          <w:color w:val="auto"/>
          <w:sz w:val="24"/>
          <w:szCs w:val="24"/>
          <w:highlight w:val="none"/>
        </w:rPr>
      </w:pPr>
      <w:bookmarkStart w:id="38" w:name="_Toc6721"/>
      <w:bookmarkStart w:id="39" w:name="_Toc325620712"/>
      <w:bookmarkStart w:id="40" w:name="_Toc489539224"/>
      <w:r>
        <w:rPr>
          <w:rFonts w:hint="eastAsia" w:ascii="仿宋" w:hAnsi="仿宋" w:eastAsia="仿宋" w:cs="仿宋"/>
          <w:color w:val="auto"/>
          <w:sz w:val="24"/>
          <w:szCs w:val="24"/>
          <w:highlight w:val="none"/>
        </w:rPr>
        <w:t>投标人有下列情况之一,其投标文件作无效标处理。给学校或其他供应商造成损失的，须承担相应的民事及赔偿责任；构成犯罪的，依法追究刑事责任。</w:t>
      </w:r>
    </w:p>
    <w:p>
      <w:pPr>
        <w:spacing w:line="440" w:lineRule="exact"/>
        <w:ind w:firstLine="48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1.未按招标文件规定编制、签署、盖章、装订和密封投标文件的。</w:t>
      </w:r>
    </w:p>
    <w:p>
      <w:pPr>
        <w:spacing w:line="440" w:lineRule="exact"/>
        <w:ind w:firstLine="48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2.不具备招标文件中规定的资格要求或超出营业执照经营范围的。</w:t>
      </w:r>
    </w:p>
    <w:p>
      <w:pPr>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3.报价超过招标文件中规定的预算金额或者最高限价的。</w:t>
      </w:r>
    </w:p>
    <w:p>
      <w:pPr>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4.投标文件中含有采购人不能接受的附加条件的。</w:t>
      </w:r>
    </w:p>
    <w:p>
      <w:pPr>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5.对“</w:t>
      </w:r>
      <w:bookmarkStart w:id="41" w:name="OLE_LINK2"/>
      <w:bookmarkStart w:id="42" w:name="OLE_LINK3"/>
      <w:r>
        <w:rPr>
          <w:rFonts w:hint="eastAsia" w:ascii="仿宋" w:hAnsi="仿宋" w:eastAsia="仿宋" w:cs="仿宋"/>
          <w:color w:val="auto"/>
          <w:sz w:val="24"/>
          <w:szCs w:val="24"/>
          <w:highlight w:val="none"/>
        </w:rPr>
        <w:t>★</w:t>
      </w:r>
      <w:bookmarkEnd w:id="41"/>
      <w:bookmarkEnd w:id="42"/>
      <w:r>
        <w:rPr>
          <w:rFonts w:hint="eastAsia" w:ascii="仿宋" w:hAnsi="仿宋" w:eastAsia="仿宋" w:cs="仿宋"/>
          <w:color w:val="auto"/>
          <w:sz w:val="24"/>
          <w:szCs w:val="24"/>
          <w:highlight w:val="none"/>
        </w:rPr>
        <w:t>”条款未做出实质性响应或者发生负偏离的。</w:t>
      </w:r>
    </w:p>
    <w:p>
      <w:pPr>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6.投标文件提供的有关资格、资质证明文件不真实，提供虚假响应材料的。</w:t>
      </w:r>
    </w:p>
    <w:p>
      <w:pPr>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7.不按照采购文件规定报价、拒绝报价、有多个报价（采购文件另有规定的除外）、有选择性报价、附有条件的报价或者拒绝修正报价的。</w:t>
      </w:r>
    </w:p>
    <w:p>
      <w:pPr>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8.报价有效期不满足采购文件要求的。</w:t>
      </w:r>
    </w:p>
    <w:p>
      <w:pPr>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9.评审小组2/3及以上成员认定报价低于成本或投标方案技术含量低、不符合采购文件要求的。</w:t>
      </w:r>
    </w:p>
    <w:p>
      <w:pPr>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10.采取不正当手段诋毁、排挤其他供应商的。</w:t>
      </w:r>
    </w:p>
    <w:p>
      <w:pPr>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11.在规定的开标时间后，投标人在投标有效期内撤回投标的。</w:t>
      </w:r>
    </w:p>
    <w:p>
      <w:pPr>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12.投标人有串通投标行为的。</w:t>
      </w:r>
    </w:p>
    <w:p>
      <w:pPr>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13.在整个评审过程中，投标人有企图影响评审结果公正性的任何活动的。</w:t>
      </w:r>
    </w:p>
    <w:p>
      <w:pPr>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14.中标人声明放弃中标或未在规定时间内签订合同的。</w:t>
      </w:r>
    </w:p>
    <w:p>
      <w:pPr>
        <w:spacing w:line="440" w:lineRule="exact"/>
        <w:ind w:firstLine="480" w:firstLineChars="200"/>
        <w:jc w:val="left"/>
        <w:rPr>
          <w:rFonts w:ascii="仿宋" w:hAnsi="仿宋" w:eastAsia="仿宋" w:cs="仿宋"/>
          <w:strike/>
          <w:color w:val="auto"/>
          <w:sz w:val="24"/>
          <w:szCs w:val="24"/>
          <w:highlight w:val="none"/>
        </w:rPr>
      </w:pPr>
      <w:r>
        <w:rPr>
          <w:rFonts w:hint="eastAsia" w:ascii="仿宋" w:hAnsi="仿宋" w:eastAsia="仿宋" w:cs="仿宋"/>
          <w:color w:val="auto"/>
          <w:sz w:val="24"/>
          <w:szCs w:val="24"/>
          <w:highlight w:val="none"/>
        </w:rPr>
        <w:t>15.法律、法规规定的其他情况。</w:t>
      </w:r>
    </w:p>
    <w:p>
      <w:pPr>
        <w:pStyle w:val="34"/>
        <w:spacing w:before="0" w:after="0" w:line="440" w:lineRule="exact"/>
        <w:ind w:firstLine="602" w:firstLineChars="200"/>
        <w:outlineLvl w:val="1"/>
        <w:rPr>
          <w:rFonts w:ascii="仿宋" w:hAnsi="仿宋" w:eastAsia="仿宋" w:cs="仿宋"/>
          <w:color w:val="auto"/>
          <w:sz w:val="30"/>
          <w:szCs w:val="30"/>
          <w:highlight w:val="none"/>
        </w:rPr>
      </w:pPr>
      <w:bookmarkStart w:id="43" w:name="_Toc16694"/>
      <w:r>
        <w:rPr>
          <w:rFonts w:hint="eastAsia" w:ascii="仿宋" w:hAnsi="仿宋" w:eastAsia="仿宋" w:cs="仿宋"/>
          <w:color w:val="auto"/>
          <w:sz w:val="30"/>
          <w:szCs w:val="30"/>
          <w:highlight w:val="none"/>
        </w:rPr>
        <w:t>十</w:t>
      </w:r>
      <w:bookmarkStart w:id="44" w:name="_Toc259000653"/>
      <w:bookmarkStart w:id="45" w:name="_Toc304901697"/>
      <w:r>
        <w:rPr>
          <w:rFonts w:hint="eastAsia" w:ascii="仿宋" w:hAnsi="仿宋" w:eastAsia="仿宋" w:cs="仿宋"/>
          <w:color w:val="auto"/>
          <w:sz w:val="30"/>
          <w:szCs w:val="30"/>
          <w:highlight w:val="none"/>
        </w:rPr>
        <w:t>、招标文件的解释权</w:t>
      </w:r>
      <w:bookmarkEnd w:id="38"/>
      <w:bookmarkEnd w:id="39"/>
      <w:bookmarkEnd w:id="40"/>
      <w:bookmarkEnd w:id="43"/>
      <w:bookmarkEnd w:id="44"/>
      <w:bookmarkEnd w:id="45"/>
    </w:p>
    <w:p>
      <w:pPr>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1.本招标文件的类同内容解释顺序为：招标公告→投标邀请→投标人须知→用户需求书→合同格式→投标文件格式。但同一部分中对类同内容有不同描述的，则以最有利于招标人的为最终解释原则。</w:t>
      </w:r>
    </w:p>
    <w:p>
      <w:pPr>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购买本招标文件的投标人如果认为招标文件的任何条款存在含糊、遗漏、相互矛盾之处，或是对于采购范围的界定和采购内容的要求不清楚，认为存在歧视、限制的情况，投标人应按相关法律、法规、规定以书面形式向招标人寻求书面澄清，未提出异议或者超过质疑时间的视为完全认同本招标文件。</w:t>
      </w:r>
    </w:p>
    <w:p>
      <w:pPr>
        <w:spacing w:line="440" w:lineRule="exact"/>
        <w:ind w:firstLine="480" w:firstLineChars="200"/>
        <w:jc w:val="left"/>
        <w:rPr>
          <w:rFonts w:ascii="仿宋" w:hAnsi="仿宋" w:eastAsia="仿宋" w:cs="仿宋"/>
          <w:color w:val="auto"/>
          <w:sz w:val="36"/>
          <w:szCs w:val="36"/>
          <w:highlight w:val="none"/>
        </w:rPr>
      </w:pPr>
      <w:r>
        <w:rPr>
          <w:rFonts w:hint="eastAsia" w:ascii="仿宋" w:hAnsi="仿宋" w:eastAsia="仿宋" w:cs="仿宋"/>
          <w:color w:val="auto"/>
          <w:sz w:val="24"/>
          <w:szCs w:val="24"/>
          <w:highlight w:val="none"/>
        </w:rPr>
        <w:t>3.本招标文件的最终解释权归中国石油大学（华东）采购与招标办公室。</w:t>
      </w:r>
      <w:bookmarkStart w:id="46" w:name="_Toc12972"/>
      <w:r>
        <w:rPr>
          <w:rFonts w:hint="eastAsia" w:ascii="仿宋" w:hAnsi="仿宋" w:eastAsia="仿宋" w:cs="仿宋"/>
          <w:color w:val="auto"/>
          <w:sz w:val="36"/>
          <w:szCs w:val="36"/>
          <w:highlight w:val="none"/>
        </w:rPr>
        <w:br w:type="page"/>
      </w:r>
    </w:p>
    <w:p>
      <w:pPr>
        <w:pStyle w:val="3"/>
        <w:rPr>
          <w:rFonts w:ascii="仿宋" w:hAnsi="仿宋" w:eastAsia="仿宋" w:cs="仿宋"/>
          <w:color w:val="auto"/>
          <w:sz w:val="36"/>
          <w:szCs w:val="36"/>
          <w:highlight w:val="none"/>
        </w:rPr>
      </w:pPr>
      <w:bookmarkStart w:id="47" w:name="_Toc740"/>
      <w:r>
        <w:rPr>
          <w:rFonts w:hint="eastAsia" w:ascii="仿宋" w:hAnsi="仿宋" w:eastAsia="仿宋" w:cs="仿宋"/>
          <w:color w:val="auto"/>
          <w:sz w:val="36"/>
          <w:szCs w:val="36"/>
          <w:highlight w:val="none"/>
        </w:rPr>
        <w:t>第三部分 开标、评标、定标</w:t>
      </w:r>
      <w:bookmarkEnd w:id="46"/>
      <w:bookmarkEnd w:id="47"/>
    </w:p>
    <w:p>
      <w:pPr>
        <w:pStyle w:val="34"/>
        <w:spacing w:before="0" w:after="0" w:line="440" w:lineRule="exact"/>
        <w:ind w:firstLine="602" w:firstLineChars="200"/>
        <w:outlineLvl w:val="1"/>
        <w:rPr>
          <w:rFonts w:ascii="仿宋" w:hAnsi="仿宋" w:eastAsia="仿宋" w:cs="仿宋"/>
          <w:color w:val="auto"/>
          <w:sz w:val="30"/>
          <w:szCs w:val="30"/>
          <w:highlight w:val="none"/>
        </w:rPr>
      </w:pPr>
      <w:bookmarkStart w:id="48" w:name="_Toc489539226"/>
      <w:bookmarkStart w:id="49" w:name="_Toc325620714"/>
      <w:bookmarkStart w:id="50" w:name="_Toc28342"/>
      <w:bookmarkStart w:id="51" w:name="_Toc18473"/>
      <w:bookmarkStart w:id="52" w:name="_Toc325620718"/>
      <w:bookmarkStart w:id="53" w:name="_Toc323129564"/>
      <w:bookmarkStart w:id="54" w:name="_Toc325620720"/>
      <w:bookmarkStart w:id="55" w:name="_Toc325582068"/>
      <w:bookmarkStart w:id="56" w:name="_Toc325582573"/>
      <w:r>
        <w:rPr>
          <w:rFonts w:hint="eastAsia" w:ascii="仿宋" w:hAnsi="仿宋" w:eastAsia="仿宋" w:cs="仿宋"/>
          <w:color w:val="auto"/>
          <w:sz w:val="30"/>
          <w:szCs w:val="30"/>
          <w:highlight w:val="none"/>
        </w:rPr>
        <w:t>一、开标</w:t>
      </w:r>
      <w:bookmarkEnd w:id="48"/>
      <w:bookmarkEnd w:id="49"/>
      <w:bookmarkEnd w:id="50"/>
      <w:bookmarkEnd w:id="51"/>
    </w:p>
    <w:p>
      <w:pPr>
        <w:spacing w:line="440" w:lineRule="exact"/>
        <w:ind w:firstLine="480" w:firstLineChars="200"/>
        <w:jc w:val="left"/>
        <w:rPr>
          <w:rFonts w:ascii="仿宋" w:hAnsi="仿宋" w:eastAsia="仿宋" w:cs="仿宋"/>
          <w:color w:val="auto"/>
          <w:sz w:val="24"/>
          <w:szCs w:val="24"/>
          <w:highlight w:val="none"/>
        </w:rPr>
      </w:pPr>
      <w:bookmarkStart w:id="57" w:name="_Toc489539227"/>
      <w:bookmarkStart w:id="58" w:name="_Toc325620715"/>
      <w:r>
        <w:rPr>
          <w:rFonts w:hint="eastAsia" w:ascii="仿宋" w:hAnsi="仿宋" w:eastAsia="仿宋" w:cs="仿宋"/>
          <w:color w:val="auto"/>
          <w:sz w:val="24"/>
          <w:szCs w:val="24"/>
          <w:highlight w:val="none"/>
        </w:rPr>
        <w:t>1.至投标文件提交截止时间，投标供应商不足3家，将导致废标。</w:t>
      </w:r>
    </w:p>
    <w:p>
      <w:pPr>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2.开标程序：</w:t>
      </w:r>
    </w:p>
    <w:p>
      <w:pPr>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（1）开标会由山东盛和招标代理有限公司主持。</w:t>
      </w:r>
    </w:p>
    <w:p>
      <w:pPr>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（2）山东盛和招标代理有限公司对开标过程进行录音录像记录，并存档备查。</w:t>
      </w:r>
    </w:p>
    <w:p>
      <w:pPr>
        <w:pStyle w:val="34"/>
        <w:spacing w:before="0" w:after="0" w:line="440" w:lineRule="exact"/>
        <w:ind w:firstLine="602" w:firstLineChars="200"/>
        <w:outlineLvl w:val="1"/>
        <w:rPr>
          <w:rFonts w:ascii="仿宋" w:hAnsi="仿宋" w:eastAsia="仿宋" w:cs="仿宋"/>
          <w:color w:val="auto"/>
          <w:sz w:val="30"/>
          <w:szCs w:val="30"/>
          <w:highlight w:val="none"/>
        </w:rPr>
      </w:pPr>
      <w:bookmarkStart w:id="59" w:name="_Toc25837"/>
      <w:bookmarkStart w:id="60" w:name="_Toc11810"/>
      <w:r>
        <w:rPr>
          <w:rFonts w:hint="eastAsia" w:ascii="仿宋" w:hAnsi="仿宋" w:eastAsia="仿宋" w:cs="仿宋"/>
          <w:color w:val="auto"/>
          <w:sz w:val="30"/>
          <w:szCs w:val="30"/>
          <w:highlight w:val="none"/>
        </w:rPr>
        <w:t>二、评审委员会</w:t>
      </w:r>
      <w:bookmarkEnd w:id="57"/>
      <w:bookmarkEnd w:id="58"/>
      <w:bookmarkEnd w:id="59"/>
      <w:bookmarkEnd w:id="60"/>
    </w:p>
    <w:p>
      <w:pPr>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1．招标人将根据本项目的特点组成评审委员会，评标过程除评审委员会成员、招标工作人员和实施监督的人员外，其他人员未经允许不能进入评标会现场。</w:t>
      </w:r>
    </w:p>
    <w:p>
      <w:pPr>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2.评审委员会根据相关法律、法规和规章，以及招标文件的规定对各投标文件进行评审，推荐中标候选人。</w:t>
      </w:r>
    </w:p>
    <w:p>
      <w:pPr>
        <w:pStyle w:val="34"/>
        <w:spacing w:before="0" w:after="0" w:line="440" w:lineRule="exact"/>
        <w:ind w:firstLine="602" w:firstLineChars="200"/>
        <w:outlineLvl w:val="1"/>
        <w:rPr>
          <w:rFonts w:ascii="仿宋" w:hAnsi="仿宋" w:eastAsia="仿宋" w:cs="仿宋"/>
          <w:color w:val="auto"/>
          <w:sz w:val="30"/>
          <w:szCs w:val="30"/>
          <w:highlight w:val="none"/>
        </w:rPr>
      </w:pPr>
      <w:bookmarkStart w:id="61" w:name="_Toc325620716"/>
      <w:bookmarkStart w:id="62" w:name="_Toc489539228"/>
      <w:bookmarkStart w:id="63" w:name="_Toc7376"/>
      <w:bookmarkStart w:id="64" w:name="_Toc5302"/>
      <w:r>
        <w:rPr>
          <w:rFonts w:hint="eastAsia" w:ascii="仿宋" w:hAnsi="仿宋" w:eastAsia="仿宋" w:cs="仿宋"/>
          <w:color w:val="auto"/>
          <w:sz w:val="30"/>
          <w:szCs w:val="30"/>
          <w:highlight w:val="none"/>
        </w:rPr>
        <w:t>三、</w:t>
      </w:r>
      <w:bookmarkEnd w:id="61"/>
      <w:bookmarkEnd w:id="62"/>
      <w:r>
        <w:rPr>
          <w:rFonts w:hint="eastAsia" w:ascii="仿宋" w:hAnsi="仿宋" w:eastAsia="仿宋" w:cs="仿宋"/>
          <w:color w:val="auto"/>
          <w:sz w:val="30"/>
          <w:szCs w:val="30"/>
          <w:highlight w:val="none"/>
        </w:rPr>
        <w:t>评标原则和评标方法</w:t>
      </w:r>
      <w:bookmarkEnd w:id="63"/>
      <w:bookmarkEnd w:id="64"/>
    </w:p>
    <w:p>
      <w:pPr>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评标基本原则：评标工作按照本招标文件的规定并参照《中华人民共和国政府采购法》等法律法规及有关规定，遵循“公开、公平、公正、择优、信用”的原则进行。评标委员会将按照规定只对通过资格性审查的投标文件进行详细评审。</w:t>
      </w:r>
    </w:p>
    <w:p>
      <w:pPr>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2.评标方法：本次招标的评标方法采用综合评分法。</w:t>
      </w:r>
    </w:p>
    <w:p>
      <w:pPr>
        <w:pStyle w:val="34"/>
        <w:spacing w:before="0" w:after="0" w:line="440" w:lineRule="exact"/>
        <w:ind w:firstLine="602" w:firstLineChars="200"/>
        <w:outlineLvl w:val="1"/>
        <w:rPr>
          <w:rFonts w:ascii="仿宋" w:hAnsi="仿宋" w:eastAsia="仿宋" w:cs="仿宋"/>
          <w:color w:val="auto"/>
          <w:sz w:val="30"/>
          <w:szCs w:val="30"/>
          <w:highlight w:val="none"/>
        </w:rPr>
      </w:pPr>
      <w:bookmarkStart w:id="65" w:name="_Toc489539229"/>
      <w:bookmarkStart w:id="66" w:name="_Toc26923"/>
      <w:bookmarkStart w:id="67" w:name="_Toc22975"/>
      <w:bookmarkStart w:id="68" w:name="_Toc325620717"/>
      <w:r>
        <w:rPr>
          <w:rFonts w:hint="eastAsia" w:ascii="仿宋" w:hAnsi="仿宋" w:eastAsia="仿宋" w:cs="仿宋"/>
          <w:color w:val="auto"/>
          <w:sz w:val="30"/>
          <w:szCs w:val="30"/>
          <w:highlight w:val="none"/>
        </w:rPr>
        <w:t>四、评审办法</w:t>
      </w:r>
      <w:bookmarkEnd w:id="65"/>
      <w:bookmarkEnd w:id="66"/>
      <w:bookmarkEnd w:id="67"/>
      <w:bookmarkEnd w:id="68"/>
    </w:p>
    <w:p>
      <w:pPr>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本次招标采用综合评分法，评审委员会成员综合评定各投标人提交的投标文件，由评审委员会综合各成员意见作出最终结论。</w:t>
      </w:r>
    </w:p>
    <w:p>
      <w:pPr>
        <w:spacing w:line="440" w:lineRule="exact"/>
        <w:ind w:firstLine="482" w:firstLineChars="200"/>
        <w:jc w:val="left"/>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1.资格审查</w:t>
      </w:r>
    </w:p>
    <w:p>
      <w:pPr>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审查投标人资格条件是否满足要求及其提供的证明材料是否齐全和有效，只有满足招标公告中投标人资格要求的投标人才是合格投标人。被认定为不合格投标人的，不得进入符合性审查。合格投标人不足3家的，不得进入评标阶段。</w:t>
      </w:r>
    </w:p>
    <w:p>
      <w:pPr>
        <w:spacing w:line="440" w:lineRule="exact"/>
        <w:ind w:firstLine="482" w:firstLineChars="200"/>
        <w:jc w:val="left"/>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2.综合评审</w:t>
      </w:r>
    </w:p>
    <w:p>
      <w:pPr>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（1）符合性审查。即由评标委员会根据相关法律规章和招标文件的要求，对通过资格审查的投标人是否响应招标文件实质性要求进行审查。</w:t>
      </w:r>
    </w:p>
    <w:p>
      <w:pPr>
        <w:spacing w:line="440" w:lineRule="exact"/>
        <w:ind w:firstLine="480" w:firstLineChars="200"/>
        <w:jc w:val="left"/>
        <w:rPr>
          <w:rFonts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2）详细评审。评审委员会将根据招标文件确定的评标标准和方法作详细比较和评价，按照“综合实力最强、能够最大限度满足招标文件中规定的各项综合评价标准，并且投标报价合理”的原则按评分细则对各投标人进行比较和评价打分，按最终得分由高到低排序，确定排名第一的为预中标人。</w:t>
      </w:r>
      <w:r>
        <w:rPr>
          <w:rFonts w:hint="eastAsia" w:ascii="仿宋" w:hAnsi="仿宋" w:eastAsia="仿宋" w:cs="仿宋"/>
          <w:color w:val="auto"/>
          <w:kern w:val="0"/>
          <w:sz w:val="24"/>
          <w:szCs w:val="24"/>
          <w:highlight w:val="none"/>
        </w:rPr>
        <w:t>得分相同的，报价较低的为预中标人。得分且投标报价相同的，技术指标较优的为预中标人。</w:t>
      </w:r>
      <w:bookmarkStart w:id="69" w:name="percentDesc"/>
      <w:bookmarkEnd w:id="69"/>
    </w:p>
    <w:tbl>
      <w:tblPr>
        <w:tblStyle w:val="37"/>
        <w:tblpPr w:leftFromText="180" w:rightFromText="180" w:vertAnchor="text" w:tblpXSpec="center" w:tblpY="1"/>
        <w:tblOverlap w:val="never"/>
        <w:tblW w:w="101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134"/>
        <w:gridCol w:w="1099"/>
        <w:gridCol w:w="6550"/>
        <w:gridCol w:w="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vAlign w:val="center"/>
          </w:tcPr>
          <w:p>
            <w:pPr>
              <w:pStyle w:val="17"/>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1134" w:type="dxa"/>
            <w:vAlign w:val="center"/>
          </w:tcPr>
          <w:p>
            <w:pPr>
              <w:pStyle w:val="17"/>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评分项目</w:t>
            </w:r>
          </w:p>
        </w:tc>
        <w:tc>
          <w:tcPr>
            <w:tcW w:w="1099" w:type="dxa"/>
            <w:vAlign w:val="center"/>
          </w:tcPr>
          <w:p>
            <w:pPr>
              <w:pStyle w:val="17"/>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评审因素</w:t>
            </w:r>
          </w:p>
        </w:tc>
        <w:tc>
          <w:tcPr>
            <w:tcW w:w="6550" w:type="dxa"/>
            <w:vAlign w:val="center"/>
          </w:tcPr>
          <w:p>
            <w:pPr>
              <w:pStyle w:val="17"/>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评分标准说明</w:t>
            </w:r>
          </w:p>
        </w:tc>
        <w:tc>
          <w:tcPr>
            <w:tcW w:w="690" w:type="dxa"/>
            <w:vAlign w:val="center"/>
          </w:tcPr>
          <w:p>
            <w:pPr>
              <w:pStyle w:val="17"/>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trPr>
        <w:tc>
          <w:tcPr>
            <w:tcW w:w="710" w:type="dxa"/>
            <w:vAlign w:val="center"/>
          </w:tcPr>
          <w:p>
            <w:pPr>
              <w:pStyle w:val="17"/>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1134" w:type="dxa"/>
            <w:vAlign w:val="center"/>
          </w:tcPr>
          <w:p>
            <w:pPr>
              <w:pStyle w:val="17"/>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报价</w:t>
            </w:r>
          </w:p>
          <w:p>
            <w:pPr>
              <w:pStyle w:val="17"/>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（30分）</w:t>
            </w:r>
          </w:p>
        </w:tc>
        <w:tc>
          <w:tcPr>
            <w:tcW w:w="1099" w:type="dxa"/>
            <w:vAlign w:val="center"/>
          </w:tcPr>
          <w:p>
            <w:pPr>
              <w:pStyle w:val="17"/>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价格</w:t>
            </w:r>
          </w:p>
        </w:tc>
        <w:tc>
          <w:tcPr>
            <w:tcW w:w="6550" w:type="dxa"/>
          </w:tcPr>
          <w:p>
            <w:pPr>
              <w:pStyle w:val="17"/>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满足招标文件要求且投标价格最低的投标报价为评标基准价，其价格分为满分30分。其他投标人的价格分统一按照下列公式计算：投标报价得分=(评标基准价／投标报价)×30%×100。</w:t>
            </w:r>
          </w:p>
        </w:tc>
        <w:tc>
          <w:tcPr>
            <w:tcW w:w="690" w:type="dxa"/>
            <w:vAlign w:val="center"/>
          </w:tcPr>
          <w:p>
            <w:pPr>
              <w:pStyle w:val="17"/>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vMerge w:val="restart"/>
            <w:vAlign w:val="center"/>
          </w:tcPr>
          <w:p>
            <w:pPr>
              <w:pStyle w:val="17"/>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134" w:type="dxa"/>
            <w:vMerge w:val="restart"/>
            <w:vAlign w:val="center"/>
          </w:tcPr>
          <w:p>
            <w:pPr>
              <w:pStyle w:val="17"/>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商务部分（8分）</w:t>
            </w:r>
          </w:p>
        </w:tc>
        <w:tc>
          <w:tcPr>
            <w:tcW w:w="1099" w:type="dxa"/>
            <w:vAlign w:val="center"/>
          </w:tcPr>
          <w:p>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优惠</w:t>
            </w:r>
          </w:p>
          <w:p>
            <w:pPr>
              <w:jc w:val="center"/>
              <w:rPr>
                <w:rFonts w:ascii="仿宋" w:hAnsi="仿宋" w:eastAsia="仿宋" w:cs="仿宋"/>
                <w:color w:val="auto"/>
                <w:sz w:val="24"/>
                <w:szCs w:val="24"/>
                <w:highlight w:val="none"/>
              </w:rPr>
            </w:pPr>
            <w:r>
              <w:rPr>
                <w:rFonts w:hint="eastAsia" w:ascii="仿宋" w:hAnsi="仿宋" w:eastAsia="仿宋" w:cs="仿宋"/>
                <w:color w:val="auto"/>
                <w:kern w:val="0"/>
                <w:sz w:val="24"/>
                <w:highlight w:val="none"/>
              </w:rPr>
              <w:t>条件</w:t>
            </w:r>
          </w:p>
        </w:tc>
        <w:tc>
          <w:tcPr>
            <w:tcW w:w="6550" w:type="dxa"/>
            <w:vAlign w:val="center"/>
          </w:tcPr>
          <w:p>
            <w:pPr>
              <w:rPr>
                <w:rFonts w:ascii="仿宋" w:hAnsi="仿宋" w:eastAsia="仿宋" w:cs="仿宋"/>
                <w:b/>
                <w:bCs/>
                <w:color w:val="auto"/>
                <w:sz w:val="24"/>
                <w:szCs w:val="24"/>
                <w:highlight w:val="none"/>
              </w:rPr>
            </w:pPr>
            <w:r>
              <w:rPr>
                <w:rFonts w:hint="eastAsia" w:ascii="仿宋" w:hAnsi="仿宋" w:eastAsia="仿宋" w:cs="仿宋"/>
                <w:color w:val="auto"/>
                <w:kern w:val="0"/>
                <w:sz w:val="24"/>
                <w:highlight w:val="none"/>
              </w:rPr>
              <w:t>提供超过标书要求的特别优惠条件且经评委认可的，每有一项得1分，最高得2分。</w:t>
            </w:r>
          </w:p>
        </w:tc>
        <w:tc>
          <w:tcPr>
            <w:tcW w:w="690" w:type="dxa"/>
            <w:vAlign w:val="center"/>
          </w:tcPr>
          <w:p>
            <w:pPr>
              <w:pStyle w:val="17"/>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vMerge w:val="continue"/>
            <w:vAlign w:val="center"/>
          </w:tcPr>
          <w:p>
            <w:pPr>
              <w:pStyle w:val="17"/>
              <w:jc w:val="center"/>
              <w:rPr>
                <w:rFonts w:ascii="仿宋" w:hAnsi="仿宋" w:eastAsia="仿宋" w:cs="仿宋"/>
                <w:color w:val="auto"/>
                <w:sz w:val="24"/>
                <w:szCs w:val="24"/>
                <w:highlight w:val="none"/>
              </w:rPr>
            </w:pPr>
          </w:p>
        </w:tc>
        <w:tc>
          <w:tcPr>
            <w:tcW w:w="1134" w:type="dxa"/>
            <w:vMerge w:val="continue"/>
            <w:vAlign w:val="center"/>
          </w:tcPr>
          <w:p>
            <w:pPr>
              <w:pStyle w:val="17"/>
              <w:jc w:val="center"/>
              <w:rPr>
                <w:rFonts w:ascii="仿宋" w:hAnsi="仿宋" w:eastAsia="仿宋" w:cs="仿宋"/>
                <w:color w:val="auto"/>
                <w:sz w:val="24"/>
                <w:szCs w:val="24"/>
                <w:highlight w:val="none"/>
              </w:rPr>
            </w:pPr>
          </w:p>
        </w:tc>
        <w:tc>
          <w:tcPr>
            <w:tcW w:w="1099" w:type="dxa"/>
            <w:vAlign w:val="center"/>
          </w:tcPr>
          <w:p>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质保期</w:t>
            </w:r>
          </w:p>
        </w:tc>
        <w:tc>
          <w:tcPr>
            <w:tcW w:w="6550" w:type="dxa"/>
            <w:vAlign w:val="center"/>
          </w:tcPr>
          <w:p>
            <w:pPr>
              <w:rPr>
                <w:rFonts w:ascii="仿宋" w:hAnsi="仿宋" w:eastAsia="仿宋" w:cs="仿宋"/>
                <w:color w:val="auto"/>
                <w:kern w:val="0"/>
                <w:sz w:val="24"/>
                <w:highlight w:val="none"/>
              </w:rPr>
            </w:pPr>
            <w:r>
              <w:rPr>
                <w:rFonts w:hint="eastAsia" w:ascii="仿宋" w:hAnsi="仿宋" w:eastAsia="仿宋" w:cs="仿宋"/>
                <w:color w:val="auto"/>
                <w:sz w:val="24"/>
                <w:szCs w:val="24"/>
                <w:highlight w:val="none"/>
              </w:rPr>
              <w:t>投标人承诺产品质保期不低于五年，在五年的基础上每增加一年质保期加1分，该项最多得3分。</w:t>
            </w:r>
          </w:p>
        </w:tc>
        <w:tc>
          <w:tcPr>
            <w:tcW w:w="690" w:type="dxa"/>
            <w:vAlign w:val="center"/>
          </w:tcPr>
          <w:p>
            <w:pPr>
              <w:pStyle w:val="17"/>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710" w:type="dxa"/>
            <w:vMerge w:val="continue"/>
            <w:vAlign w:val="center"/>
          </w:tcPr>
          <w:p>
            <w:pPr>
              <w:pStyle w:val="17"/>
              <w:jc w:val="center"/>
              <w:rPr>
                <w:rFonts w:ascii="仿宋" w:hAnsi="仿宋" w:eastAsia="仿宋" w:cs="仿宋"/>
                <w:color w:val="auto"/>
                <w:sz w:val="24"/>
                <w:szCs w:val="24"/>
                <w:highlight w:val="none"/>
              </w:rPr>
            </w:pPr>
          </w:p>
        </w:tc>
        <w:tc>
          <w:tcPr>
            <w:tcW w:w="1134" w:type="dxa"/>
            <w:vMerge w:val="continue"/>
            <w:vAlign w:val="center"/>
          </w:tcPr>
          <w:p>
            <w:pPr>
              <w:pStyle w:val="17"/>
              <w:jc w:val="center"/>
              <w:rPr>
                <w:rFonts w:ascii="仿宋" w:hAnsi="仿宋" w:eastAsia="仿宋" w:cs="仿宋"/>
                <w:color w:val="auto"/>
                <w:sz w:val="24"/>
                <w:szCs w:val="24"/>
                <w:highlight w:val="none"/>
              </w:rPr>
            </w:pPr>
          </w:p>
        </w:tc>
        <w:tc>
          <w:tcPr>
            <w:tcW w:w="1099" w:type="dxa"/>
            <w:vAlign w:val="center"/>
          </w:tcPr>
          <w:p>
            <w:pPr>
              <w:pStyle w:val="17"/>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同类项目业绩</w:t>
            </w:r>
          </w:p>
        </w:tc>
        <w:tc>
          <w:tcPr>
            <w:tcW w:w="6550" w:type="dxa"/>
          </w:tcPr>
          <w:p>
            <w:pPr>
              <w:pStyle w:val="17"/>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投标人提供2019年1月1日至本项目发布招标公告时间（以合同签订日期为准）类似项目业绩，合同内容包含橱柜。每提供一个得1分，最高得3分。</w:t>
            </w:r>
          </w:p>
          <w:p>
            <w:pPr>
              <w:pStyle w:val="17"/>
              <w:rPr>
                <w:rFonts w:ascii="仿宋" w:hAnsi="仿宋" w:eastAsia="仿宋" w:cs="仿宋"/>
                <w:b/>
                <w:bCs/>
                <w:color w:val="auto"/>
                <w:sz w:val="24"/>
                <w:szCs w:val="24"/>
                <w:highlight w:val="none"/>
              </w:rPr>
            </w:pPr>
            <w:r>
              <w:rPr>
                <w:rFonts w:hint="eastAsia" w:ascii="仿宋" w:hAnsi="仿宋" w:eastAsia="仿宋" w:cs="仿宋"/>
                <w:b/>
                <w:color w:val="auto"/>
                <w:sz w:val="24"/>
                <w:szCs w:val="24"/>
                <w:highlight w:val="none"/>
              </w:rPr>
              <w:t>注：</w:t>
            </w:r>
            <w:r>
              <w:rPr>
                <w:rFonts w:hint="eastAsia" w:ascii="仿宋" w:hAnsi="仿宋" w:eastAsia="仿宋" w:cs="仿宋"/>
                <w:b/>
                <w:color w:val="auto"/>
                <w:sz w:val="24"/>
                <w:highlight w:val="none"/>
              </w:rPr>
              <w:t>同类项目合同时间以合同签订时间为准。（需在投标文件中提供合同复印件，不提供者、或复印件未加盖投标人公章者，本项不得分）</w:t>
            </w:r>
          </w:p>
        </w:tc>
        <w:tc>
          <w:tcPr>
            <w:tcW w:w="690" w:type="dxa"/>
            <w:vAlign w:val="center"/>
          </w:tcPr>
          <w:p>
            <w:pPr>
              <w:pStyle w:val="17"/>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5" w:hRule="atLeast"/>
        </w:trPr>
        <w:tc>
          <w:tcPr>
            <w:tcW w:w="710" w:type="dxa"/>
            <w:vMerge w:val="restart"/>
            <w:vAlign w:val="center"/>
          </w:tcPr>
          <w:p>
            <w:pPr>
              <w:pStyle w:val="17"/>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1134" w:type="dxa"/>
            <w:vMerge w:val="restart"/>
            <w:vAlign w:val="center"/>
          </w:tcPr>
          <w:p>
            <w:pPr>
              <w:pStyle w:val="17"/>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技术部分（62分）</w:t>
            </w:r>
          </w:p>
        </w:tc>
        <w:tc>
          <w:tcPr>
            <w:tcW w:w="1099" w:type="dxa"/>
            <w:vAlign w:val="center"/>
          </w:tcPr>
          <w:p>
            <w:pPr>
              <w:pStyle w:val="17"/>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样品</w:t>
            </w:r>
          </w:p>
        </w:tc>
        <w:tc>
          <w:tcPr>
            <w:tcW w:w="6550" w:type="dxa"/>
          </w:tcPr>
          <w:p>
            <w:pPr>
              <w:pStyle w:val="17"/>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整体实物样品打分：根据所投样品生产工艺、外观、材质、技术指标满足招标文件的程度，由评标小组根据各投标人提供的样品满足或优于要求（10-15）、轻微瑕疵（6-10分）、重大瑕疵（1-5分）进行评审。</w:t>
            </w:r>
          </w:p>
          <w:p>
            <w:pPr>
              <w:pStyle w:val="17"/>
              <w:rPr>
                <w:rFonts w:hint="eastAsia" w:ascii="仿宋" w:hAnsi="仿宋" w:eastAsia="仿宋" w:cs="仿宋"/>
                <w:color w:val="auto"/>
                <w:sz w:val="24"/>
                <w:szCs w:val="24"/>
                <w:highlight w:val="none"/>
              </w:rPr>
            </w:pPr>
            <w:r>
              <w:rPr>
                <w:rFonts w:ascii="仿宋" w:hAnsi="仿宋" w:eastAsia="仿宋" w:cs="仿宋"/>
                <w:color w:val="auto"/>
                <w:sz w:val="24"/>
                <w:szCs w:val="24"/>
                <w:highlight w:val="none"/>
              </w:rPr>
              <w:t>现场允许对样品做破坏性试验</w:t>
            </w:r>
            <w:r>
              <w:rPr>
                <w:rFonts w:hint="eastAsia" w:ascii="仿宋" w:hAnsi="仿宋" w:eastAsia="仿宋" w:cs="仿宋"/>
                <w:color w:val="auto"/>
                <w:sz w:val="24"/>
                <w:szCs w:val="24"/>
                <w:highlight w:val="none"/>
              </w:rPr>
              <w:t>。</w:t>
            </w:r>
            <w:r>
              <w:rPr>
                <w:rFonts w:ascii="仿宋" w:hAnsi="仿宋" w:eastAsia="仿宋" w:cs="仿宋"/>
                <w:color w:val="auto"/>
                <w:sz w:val="24"/>
                <w:szCs w:val="24"/>
                <w:highlight w:val="none"/>
              </w:rPr>
              <w:t>抽查样品所用材料</w:t>
            </w:r>
            <w:r>
              <w:rPr>
                <w:rFonts w:hint="eastAsia" w:ascii="仿宋" w:hAnsi="仿宋" w:eastAsia="仿宋" w:cs="仿宋"/>
                <w:color w:val="auto"/>
                <w:sz w:val="24"/>
                <w:szCs w:val="24"/>
                <w:highlight w:val="none"/>
              </w:rPr>
              <w:t>。</w:t>
            </w:r>
          </w:p>
          <w:p>
            <w:pPr>
              <w:pStyle w:val="17"/>
              <w:rPr>
                <w:rFonts w:ascii="仿宋" w:hAnsi="仿宋" w:eastAsia="仿宋" w:cs="仿宋"/>
                <w:b/>
                <w:bCs/>
                <w:color w:val="auto"/>
                <w:sz w:val="24"/>
                <w:szCs w:val="24"/>
                <w:highlight w:val="none"/>
              </w:rPr>
            </w:pPr>
            <w:r>
              <w:rPr>
                <w:rFonts w:hint="eastAsia" w:ascii="仿宋" w:hAnsi="仿宋" w:eastAsia="仿宋" w:cs="仿宋"/>
                <w:b/>
                <w:color w:val="auto"/>
                <w:sz w:val="24"/>
                <w:szCs w:val="24"/>
                <w:highlight w:val="none"/>
              </w:rPr>
              <w:t>注：未提供或者样品数量提供不全的不得分。</w:t>
            </w:r>
          </w:p>
        </w:tc>
        <w:tc>
          <w:tcPr>
            <w:tcW w:w="690" w:type="dxa"/>
            <w:vAlign w:val="center"/>
          </w:tcPr>
          <w:p>
            <w:pPr>
              <w:pStyle w:val="17"/>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710" w:type="dxa"/>
            <w:vMerge w:val="continue"/>
            <w:vAlign w:val="center"/>
          </w:tcPr>
          <w:p>
            <w:pPr>
              <w:pStyle w:val="17"/>
              <w:jc w:val="center"/>
              <w:rPr>
                <w:rFonts w:ascii="仿宋" w:hAnsi="仿宋" w:eastAsia="仿宋" w:cs="仿宋"/>
                <w:color w:val="auto"/>
                <w:sz w:val="24"/>
                <w:szCs w:val="24"/>
                <w:highlight w:val="none"/>
              </w:rPr>
            </w:pPr>
          </w:p>
        </w:tc>
        <w:tc>
          <w:tcPr>
            <w:tcW w:w="1134" w:type="dxa"/>
            <w:vMerge w:val="continue"/>
            <w:vAlign w:val="center"/>
          </w:tcPr>
          <w:p>
            <w:pPr>
              <w:pStyle w:val="17"/>
              <w:jc w:val="center"/>
              <w:rPr>
                <w:rFonts w:ascii="仿宋" w:hAnsi="仿宋" w:eastAsia="仿宋" w:cs="仿宋"/>
                <w:color w:val="auto"/>
                <w:sz w:val="24"/>
                <w:szCs w:val="24"/>
                <w:highlight w:val="none"/>
              </w:rPr>
            </w:pPr>
          </w:p>
        </w:tc>
        <w:tc>
          <w:tcPr>
            <w:tcW w:w="1099" w:type="dxa"/>
            <w:vAlign w:val="center"/>
          </w:tcPr>
          <w:p>
            <w:pPr>
              <w:pStyle w:val="17"/>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投标产品技术响应</w:t>
            </w:r>
          </w:p>
        </w:tc>
        <w:tc>
          <w:tcPr>
            <w:tcW w:w="6550" w:type="dxa"/>
            <w:vAlign w:val="center"/>
          </w:tcPr>
          <w:p>
            <w:pPr>
              <w:pStyle w:val="17"/>
              <w:rPr>
                <w:rFonts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通过符合性审查的，得技术响应基础分20分；每有一项负偏离扣1分，扣完为止。</w:t>
            </w:r>
          </w:p>
        </w:tc>
        <w:tc>
          <w:tcPr>
            <w:tcW w:w="690" w:type="dxa"/>
            <w:vAlign w:val="center"/>
          </w:tcPr>
          <w:p>
            <w:pPr>
              <w:pStyle w:val="17"/>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vMerge w:val="continue"/>
            <w:vAlign w:val="center"/>
          </w:tcPr>
          <w:p>
            <w:pPr>
              <w:pStyle w:val="17"/>
              <w:jc w:val="center"/>
              <w:rPr>
                <w:rFonts w:ascii="仿宋" w:hAnsi="仿宋" w:eastAsia="仿宋" w:cs="仿宋"/>
                <w:color w:val="auto"/>
                <w:sz w:val="24"/>
                <w:szCs w:val="24"/>
                <w:highlight w:val="none"/>
              </w:rPr>
            </w:pPr>
          </w:p>
        </w:tc>
        <w:tc>
          <w:tcPr>
            <w:tcW w:w="1134" w:type="dxa"/>
            <w:vMerge w:val="continue"/>
            <w:vAlign w:val="center"/>
          </w:tcPr>
          <w:p>
            <w:pPr>
              <w:pStyle w:val="17"/>
              <w:jc w:val="center"/>
              <w:rPr>
                <w:rFonts w:ascii="仿宋" w:hAnsi="仿宋" w:eastAsia="仿宋" w:cs="仿宋"/>
                <w:color w:val="auto"/>
                <w:sz w:val="24"/>
                <w:szCs w:val="24"/>
                <w:highlight w:val="none"/>
              </w:rPr>
            </w:pPr>
          </w:p>
        </w:tc>
        <w:tc>
          <w:tcPr>
            <w:tcW w:w="1099" w:type="dxa"/>
            <w:vAlign w:val="center"/>
          </w:tcPr>
          <w:p>
            <w:pPr>
              <w:pStyle w:val="17"/>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整体方案</w:t>
            </w:r>
          </w:p>
        </w:tc>
        <w:tc>
          <w:tcPr>
            <w:tcW w:w="6550" w:type="dxa"/>
            <w:vAlign w:val="center"/>
          </w:tcPr>
          <w:p>
            <w:pPr>
              <w:pStyle w:val="17"/>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投标人提供产品安装调试方案及进度、质量管理及安全措施整体技术方案；根据符合招标文件要求的程度，进行评价。</w:t>
            </w:r>
          </w:p>
          <w:p>
            <w:pPr>
              <w:pStyle w:val="17"/>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1.方案合理，保障措施明确，符合本项目工作实际需要，得14-20分。</w:t>
            </w:r>
          </w:p>
          <w:p>
            <w:pPr>
              <w:pStyle w:val="17"/>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2.方案可行，缺乏保障措施，符合本项目工作实际需要，得7-13分。</w:t>
            </w:r>
          </w:p>
          <w:p>
            <w:pPr>
              <w:pStyle w:val="17"/>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3.方案有轻微瑕疵，得1-7分。</w:t>
            </w:r>
          </w:p>
          <w:p>
            <w:pPr>
              <w:pStyle w:val="17"/>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4.方案有重大瑕疵，未提供方案或不适用于本项目，本项不得分。</w:t>
            </w:r>
          </w:p>
        </w:tc>
        <w:tc>
          <w:tcPr>
            <w:tcW w:w="690" w:type="dxa"/>
            <w:vAlign w:val="center"/>
          </w:tcPr>
          <w:p>
            <w:pPr>
              <w:pStyle w:val="17"/>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vMerge w:val="continue"/>
            <w:vAlign w:val="center"/>
          </w:tcPr>
          <w:p>
            <w:pPr>
              <w:pStyle w:val="17"/>
              <w:jc w:val="center"/>
              <w:rPr>
                <w:rFonts w:ascii="仿宋" w:hAnsi="仿宋" w:eastAsia="仿宋" w:cs="仿宋"/>
                <w:color w:val="auto"/>
                <w:sz w:val="24"/>
                <w:szCs w:val="24"/>
                <w:highlight w:val="none"/>
              </w:rPr>
            </w:pPr>
          </w:p>
        </w:tc>
        <w:tc>
          <w:tcPr>
            <w:tcW w:w="1134" w:type="dxa"/>
            <w:vMerge w:val="continue"/>
            <w:vAlign w:val="center"/>
          </w:tcPr>
          <w:p>
            <w:pPr>
              <w:pStyle w:val="17"/>
              <w:jc w:val="center"/>
              <w:rPr>
                <w:rFonts w:ascii="仿宋" w:hAnsi="仿宋" w:eastAsia="仿宋" w:cs="仿宋"/>
                <w:color w:val="auto"/>
                <w:sz w:val="24"/>
                <w:szCs w:val="24"/>
                <w:highlight w:val="none"/>
              </w:rPr>
            </w:pPr>
          </w:p>
        </w:tc>
        <w:tc>
          <w:tcPr>
            <w:tcW w:w="1099" w:type="dxa"/>
            <w:vAlign w:val="center"/>
          </w:tcPr>
          <w:p>
            <w:pPr>
              <w:pStyle w:val="17"/>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售后服务</w:t>
            </w:r>
          </w:p>
        </w:tc>
        <w:tc>
          <w:tcPr>
            <w:tcW w:w="6550" w:type="dxa"/>
          </w:tcPr>
          <w:p>
            <w:pPr>
              <w:pStyle w:val="17"/>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根据售后服务方案满足招标文件的程度，投标人自行承诺，包括响应时间、例行检查、售后服务人员配置（售后服务人员须提供在本单位为其缴纳社保的证明材料），及其它优惠的售后服务措施。满足或优于的招标文件要求的得4-7分，存在轻微瑕疵的得1-3分。</w:t>
            </w:r>
          </w:p>
        </w:tc>
        <w:tc>
          <w:tcPr>
            <w:tcW w:w="690" w:type="dxa"/>
            <w:vAlign w:val="center"/>
          </w:tcPr>
          <w:p>
            <w:pPr>
              <w:pStyle w:val="17"/>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7</w:t>
            </w:r>
          </w:p>
        </w:tc>
      </w:tr>
    </w:tbl>
    <w:p>
      <w:pPr>
        <w:spacing w:line="440" w:lineRule="exact"/>
        <w:ind w:firstLine="480" w:firstLineChars="200"/>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3.评分细则：</w:t>
      </w:r>
    </w:p>
    <w:p>
      <w:pPr>
        <w:spacing w:line="440" w:lineRule="exact"/>
        <w:ind w:firstLine="480" w:firstLineChars="200"/>
        <w:jc w:val="left"/>
        <w:rPr>
          <w:rFonts w:ascii="仿宋" w:hAnsi="仿宋" w:eastAsia="仿宋" w:cs="仿宋"/>
          <w:color w:val="auto"/>
          <w:sz w:val="24"/>
          <w:szCs w:val="24"/>
          <w:highlight w:val="none"/>
        </w:rPr>
      </w:pPr>
      <w:bookmarkStart w:id="70" w:name="_Toc489539230"/>
      <w:r>
        <w:rPr>
          <w:rFonts w:hint="eastAsia" w:ascii="仿宋" w:hAnsi="仿宋" w:eastAsia="仿宋" w:cs="仿宋"/>
          <w:color w:val="auto"/>
          <w:sz w:val="24"/>
          <w:szCs w:val="24"/>
          <w:highlight w:val="none"/>
        </w:rPr>
        <w:t>评标委员会根据招标文件确定的评标办法，按综合评审结果进行排序，推荐1-2名中标候选人，排名第一的为中标人。</w:t>
      </w:r>
    </w:p>
    <w:p>
      <w:pPr>
        <w:spacing w:line="440" w:lineRule="exact"/>
        <w:ind w:firstLine="482" w:firstLineChars="200"/>
        <w:jc w:val="left"/>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4．评标过程保密</w:t>
      </w:r>
    </w:p>
    <w:p>
      <w:pPr>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凡是属于审查、澄清、评价和比较投标的有关资料以及中标意向等，均不向投标人或者其他与评标无关的人员透露。</w:t>
      </w:r>
    </w:p>
    <w:p>
      <w:pPr>
        <w:spacing w:line="440" w:lineRule="exact"/>
        <w:ind w:firstLine="482" w:firstLineChars="200"/>
        <w:jc w:val="left"/>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5.投标人瑕疵滞后的处理</w:t>
      </w:r>
    </w:p>
    <w:p>
      <w:pPr>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无论基于何种原因，各项本应作拒绝处理的情形即便未被及时发现而使该投标人进入资格审查、评审或其它后续程序，包括已经签订合同的情形，一旦在任何时间被发现存在上述情形，则招标人有权随时视情形决定是否取消该投标人的此前评议结果，并有权决定采取相应的补救或纠正措施。一旦该投标人被取消此前评议结果，其现有的位置将被其他投标人依序替代或者此项目做废标处理。</w:t>
      </w:r>
    </w:p>
    <w:bookmarkEnd w:id="52"/>
    <w:bookmarkEnd w:id="70"/>
    <w:p>
      <w:pPr>
        <w:pStyle w:val="34"/>
        <w:spacing w:before="0" w:after="0" w:line="440" w:lineRule="exact"/>
        <w:ind w:firstLine="602" w:firstLineChars="200"/>
        <w:outlineLvl w:val="1"/>
        <w:rPr>
          <w:rFonts w:ascii="仿宋" w:hAnsi="仿宋" w:eastAsia="仿宋" w:cs="仿宋"/>
          <w:color w:val="auto"/>
          <w:sz w:val="30"/>
          <w:szCs w:val="30"/>
          <w:highlight w:val="none"/>
        </w:rPr>
      </w:pPr>
      <w:bookmarkStart w:id="71" w:name="_Toc3161"/>
      <w:bookmarkStart w:id="72" w:name="_Toc10859"/>
      <w:r>
        <w:rPr>
          <w:rFonts w:hint="eastAsia" w:ascii="仿宋" w:hAnsi="仿宋" w:eastAsia="仿宋" w:cs="仿宋"/>
          <w:color w:val="auto"/>
          <w:sz w:val="30"/>
          <w:szCs w:val="30"/>
          <w:highlight w:val="none"/>
        </w:rPr>
        <w:t>五、废标</w:t>
      </w:r>
      <w:bookmarkEnd w:id="71"/>
      <w:bookmarkEnd w:id="72"/>
    </w:p>
    <w:p>
      <w:pPr>
        <w:spacing w:line="440" w:lineRule="exact"/>
        <w:ind w:firstLine="480" w:firstLineChars="200"/>
        <w:jc w:val="left"/>
        <w:rPr>
          <w:rFonts w:ascii="仿宋" w:hAnsi="仿宋" w:eastAsia="仿宋" w:cs="仿宋"/>
          <w:color w:val="auto"/>
          <w:sz w:val="24"/>
          <w:szCs w:val="24"/>
          <w:highlight w:val="none"/>
        </w:rPr>
      </w:pPr>
      <w:bookmarkStart w:id="73" w:name="_Toc16956"/>
      <w:bookmarkStart w:id="74" w:name="_Toc325620719"/>
      <w:bookmarkStart w:id="75" w:name="_Toc489539231"/>
      <w:r>
        <w:rPr>
          <w:rFonts w:hint="eastAsia" w:ascii="仿宋" w:hAnsi="仿宋" w:eastAsia="仿宋" w:cs="仿宋"/>
          <w:color w:val="auto"/>
          <w:sz w:val="24"/>
          <w:szCs w:val="24"/>
          <w:highlight w:val="none"/>
        </w:rPr>
        <w:t>在招标采购中，出现下列情形之一的，应予废标：</w:t>
      </w:r>
    </w:p>
    <w:p>
      <w:pPr>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1.符合专业条件的供应商或者对招标文件作实质响应的供应商不足三家的；</w:t>
      </w:r>
    </w:p>
    <w:p>
      <w:pPr>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2.出现影响采购公正的违法、违规行为的；</w:t>
      </w:r>
    </w:p>
    <w:p>
      <w:pPr>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3.投标人的报价均超过了采购预算，招标人不能支付的；</w:t>
      </w:r>
    </w:p>
    <w:p>
      <w:pPr>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4.因重大变故，采购任务取消的。</w:t>
      </w:r>
    </w:p>
    <w:p>
      <w:pPr>
        <w:pStyle w:val="34"/>
        <w:spacing w:before="0" w:after="0" w:line="440" w:lineRule="exact"/>
        <w:ind w:firstLine="602" w:firstLineChars="200"/>
        <w:outlineLvl w:val="1"/>
        <w:rPr>
          <w:rFonts w:ascii="仿宋" w:hAnsi="仿宋" w:eastAsia="仿宋" w:cs="仿宋"/>
          <w:color w:val="auto"/>
          <w:sz w:val="30"/>
          <w:szCs w:val="30"/>
          <w:highlight w:val="none"/>
        </w:rPr>
      </w:pPr>
      <w:bookmarkStart w:id="76" w:name="_Toc21952"/>
      <w:r>
        <w:rPr>
          <w:rFonts w:hint="eastAsia" w:ascii="仿宋" w:hAnsi="仿宋" w:eastAsia="仿宋" w:cs="仿宋"/>
          <w:color w:val="auto"/>
          <w:sz w:val="30"/>
          <w:szCs w:val="30"/>
          <w:highlight w:val="none"/>
        </w:rPr>
        <w:t>六、中标通知书</w:t>
      </w:r>
      <w:bookmarkEnd w:id="73"/>
      <w:bookmarkEnd w:id="74"/>
      <w:bookmarkEnd w:id="75"/>
      <w:bookmarkEnd w:id="76"/>
    </w:p>
    <w:p>
      <w:pPr>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评审结束后，由采购与招标办公室向中标人签发《中标通知书》。</w:t>
      </w:r>
    </w:p>
    <w:p>
      <w:pPr>
        <w:pStyle w:val="34"/>
        <w:spacing w:before="0" w:after="0" w:line="440" w:lineRule="exact"/>
        <w:ind w:firstLine="602" w:firstLineChars="200"/>
        <w:outlineLvl w:val="1"/>
        <w:rPr>
          <w:rFonts w:ascii="仿宋" w:hAnsi="仿宋" w:eastAsia="仿宋" w:cs="仿宋"/>
          <w:color w:val="auto"/>
          <w:sz w:val="30"/>
          <w:szCs w:val="30"/>
          <w:highlight w:val="none"/>
        </w:rPr>
      </w:pPr>
      <w:bookmarkStart w:id="77" w:name="_Toc15782"/>
      <w:bookmarkStart w:id="78" w:name="_Toc25014"/>
      <w:r>
        <w:rPr>
          <w:rFonts w:hint="eastAsia" w:ascii="仿宋" w:hAnsi="仿宋" w:eastAsia="仿宋" w:cs="仿宋"/>
          <w:color w:val="auto"/>
          <w:sz w:val="30"/>
          <w:szCs w:val="30"/>
          <w:highlight w:val="none"/>
        </w:rPr>
        <w:t>七、合同授予</w:t>
      </w:r>
      <w:bookmarkEnd w:id="77"/>
      <w:bookmarkEnd w:id="78"/>
    </w:p>
    <w:bookmarkEnd w:id="53"/>
    <w:bookmarkEnd w:id="54"/>
    <w:bookmarkEnd w:id="55"/>
    <w:bookmarkEnd w:id="56"/>
    <w:p>
      <w:pPr>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1.中标人在收到《中标通知书》后，应按照采购人指定的时间、地点，派遣其授权代表前往与甲方签署合同。</w:t>
      </w:r>
    </w:p>
    <w:p>
      <w:pPr>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2.签署合同时，</w:t>
      </w:r>
      <w:r>
        <w:rPr>
          <w:rFonts w:hint="eastAsia" w:ascii="仿宋" w:hAnsi="仿宋" w:eastAsia="仿宋" w:cs="仿宋"/>
          <w:b/>
          <w:bCs/>
          <w:color w:val="auto"/>
          <w:sz w:val="24"/>
          <w:highlight w:val="none"/>
        </w:rPr>
        <w:t>非生产厂家须在签订合同时提供生产厂家针对本次招标的投标授权书原件，若不能提供，中标结果无效，按提供虚假资料谋取中标处理</w:t>
      </w:r>
      <w:r>
        <w:rPr>
          <w:rFonts w:hint="eastAsia" w:ascii="仿宋" w:hAnsi="仿宋" w:eastAsia="仿宋" w:cs="仿宋"/>
          <w:color w:val="auto"/>
          <w:sz w:val="24"/>
          <w:szCs w:val="24"/>
          <w:highlight w:val="none"/>
        </w:rPr>
        <w:t>。</w:t>
      </w:r>
      <w:r>
        <w:rPr>
          <w:rFonts w:hint="eastAsia" w:ascii="仿宋" w:hAnsi="仿宋" w:eastAsia="仿宋" w:cs="仿宋"/>
          <w:b/>
          <w:bCs/>
          <w:color w:val="auto"/>
          <w:sz w:val="24"/>
          <w:highlight w:val="none"/>
        </w:rPr>
        <w:t>给学校造成损失的，须承担相应的民事及赔偿责任。</w:t>
      </w:r>
    </w:p>
    <w:p>
      <w:pPr>
        <w:jc w:val="left"/>
        <w:rPr>
          <w:rFonts w:ascii="仿宋" w:hAnsi="仿宋" w:eastAsia="仿宋" w:cs="仿宋"/>
          <w:color w:val="auto"/>
          <w:sz w:val="36"/>
          <w:szCs w:val="36"/>
          <w:highlight w:val="none"/>
        </w:rPr>
      </w:pPr>
      <w:r>
        <w:rPr>
          <w:rFonts w:hint="eastAsia" w:ascii="仿宋" w:hAnsi="仿宋" w:eastAsia="仿宋" w:cs="仿宋"/>
          <w:color w:val="auto"/>
          <w:sz w:val="36"/>
          <w:szCs w:val="36"/>
          <w:highlight w:val="none"/>
        </w:rPr>
        <w:br w:type="page"/>
      </w:r>
    </w:p>
    <w:p>
      <w:pPr>
        <w:pStyle w:val="3"/>
        <w:spacing w:line="440" w:lineRule="exact"/>
        <w:ind w:firstLine="200"/>
        <w:rPr>
          <w:rFonts w:ascii="仿宋" w:hAnsi="仿宋" w:eastAsia="仿宋" w:cs="仿宋"/>
          <w:color w:val="auto"/>
          <w:sz w:val="36"/>
          <w:szCs w:val="36"/>
          <w:highlight w:val="none"/>
        </w:rPr>
      </w:pPr>
      <w:bookmarkStart w:id="79" w:name="_Toc25306"/>
      <w:r>
        <w:rPr>
          <w:rFonts w:hint="eastAsia" w:ascii="仿宋" w:hAnsi="仿宋" w:eastAsia="仿宋" w:cs="仿宋"/>
          <w:color w:val="auto"/>
          <w:sz w:val="36"/>
          <w:szCs w:val="36"/>
          <w:highlight w:val="none"/>
        </w:rPr>
        <w:t>第四部分  合同格式</w:t>
      </w:r>
      <w:bookmarkEnd w:id="79"/>
    </w:p>
    <w:p>
      <w:pPr>
        <w:ind w:firstLine="2834" w:firstLineChars="941"/>
        <w:jc w:val="left"/>
        <w:rPr>
          <w:rFonts w:ascii="仿宋" w:hAnsi="仿宋" w:eastAsia="仿宋" w:cs="仿宋"/>
          <w:b/>
          <w:color w:val="auto"/>
          <w:sz w:val="30"/>
          <w:szCs w:val="30"/>
          <w:highlight w:val="none"/>
        </w:rPr>
      </w:pPr>
    </w:p>
    <w:p>
      <w:pPr>
        <w:ind w:firstLine="2834" w:firstLineChars="941"/>
        <w:jc w:val="left"/>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国内产品购销合同</w:t>
      </w:r>
    </w:p>
    <w:p>
      <w:pPr>
        <w:ind w:firstLine="6123" w:firstLineChars="2041"/>
        <w:jc w:val="left"/>
        <w:rPr>
          <w:rFonts w:ascii="仿宋" w:hAnsi="仿宋" w:eastAsia="仿宋" w:cs="仿宋"/>
          <w:color w:val="auto"/>
          <w:sz w:val="30"/>
          <w:szCs w:val="30"/>
          <w:highlight w:val="none"/>
        </w:rPr>
      </w:pPr>
      <w:r>
        <w:rPr>
          <w:rFonts w:hint="eastAsia" w:ascii="仿宋" w:hAnsi="仿宋" w:eastAsia="仿宋" w:cs="仿宋"/>
          <w:color w:val="auto"/>
          <w:sz w:val="30"/>
          <w:szCs w:val="30"/>
          <w:highlight w:val="none"/>
        </w:rPr>
        <w:t>合同编号：HT2022</w:t>
      </w:r>
    </w:p>
    <w:tbl>
      <w:tblPr>
        <w:tblStyle w:val="37"/>
        <w:tblW w:w="0" w:type="auto"/>
        <w:jc w:val="center"/>
        <w:tblLayout w:type="fixed"/>
        <w:tblCellMar>
          <w:top w:w="0" w:type="dxa"/>
          <w:left w:w="108" w:type="dxa"/>
          <w:bottom w:w="0" w:type="dxa"/>
          <w:right w:w="108" w:type="dxa"/>
        </w:tblCellMar>
      </w:tblPr>
      <w:tblGrid>
        <w:gridCol w:w="4077"/>
        <w:gridCol w:w="5006"/>
      </w:tblGrid>
      <w:tr>
        <w:tblPrEx>
          <w:tblCellMar>
            <w:top w:w="0" w:type="dxa"/>
            <w:left w:w="108" w:type="dxa"/>
            <w:bottom w:w="0" w:type="dxa"/>
            <w:right w:w="108" w:type="dxa"/>
          </w:tblCellMar>
        </w:tblPrEx>
        <w:trPr>
          <w:trHeight w:val="296" w:hRule="atLeast"/>
          <w:jc w:val="center"/>
        </w:trPr>
        <w:tc>
          <w:tcPr>
            <w:tcW w:w="4077" w:type="dxa"/>
            <w:tcBorders>
              <w:top w:val="single" w:color="auto" w:sz="4" w:space="0"/>
              <w:left w:val="single" w:color="auto" w:sz="4" w:space="0"/>
              <w:bottom w:val="single" w:color="auto" w:sz="4" w:space="0"/>
              <w:right w:val="single" w:color="auto" w:sz="4" w:space="0"/>
            </w:tcBorders>
          </w:tcPr>
          <w:p>
            <w:pPr>
              <w:spacing w:line="360" w:lineRule="auto"/>
              <w:jc w:val="left"/>
              <w:rPr>
                <w:rFonts w:ascii="仿宋" w:hAnsi="仿宋" w:eastAsia="仿宋" w:cs="仿宋"/>
                <w:color w:val="auto"/>
                <w:sz w:val="24"/>
                <w:szCs w:val="24"/>
                <w:highlight w:val="none"/>
              </w:rPr>
            </w:pPr>
            <w:r>
              <w:rPr>
                <w:rFonts w:hint="eastAsia" w:ascii="仿宋" w:hAnsi="仿宋" w:eastAsia="仿宋" w:cs="仿宋"/>
                <w:b/>
                <w:color w:val="auto"/>
                <w:sz w:val="24"/>
                <w:szCs w:val="24"/>
                <w:highlight w:val="none"/>
              </w:rPr>
              <w:t>签订地点</w:t>
            </w:r>
            <w:r>
              <w:rPr>
                <w:rFonts w:hint="eastAsia" w:ascii="仿宋" w:hAnsi="仿宋" w:eastAsia="仿宋" w:cs="仿宋"/>
                <w:color w:val="auto"/>
                <w:sz w:val="24"/>
                <w:szCs w:val="24"/>
                <w:highlight w:val="none"/>
              </w:rPr>
              <w:t>：中国石油大学（华东）</w:t>
            </w:r>
          </w:p>
        </w:tc>
        <w:tc>
          <w:tcPr>
            <w:tcW w:w="5006" w:type="dxa"/>
            <w:tcBorders>
              <w:top w:val="single" w:color="auto" w:sz="4" w:space="0"/>
              <w:left w:val="single" w:color="auto" w:sz="4" w:space="0"/>
              <w:bottom w:val="single" w:color="auto" w:sz="4" w:space="0"/>
              <w:right w:val="single" w:color="auto" w:sz="4" w:space="0"/>
            </w:tcBorders>
          </w:tcPr>
          <w:p>
            <w:pPr>
              <w:spacing w:line="360" w:lineRule="auto"/>
              <w:jc w:val="left"/>
              <w:rPr>
                <w:rFonts w:ascii="仿宋" w:hAnsi="仿宋" w:eastAsia="仿宋" w:cs="仿宋"/>
                <w:color w:val="auto"/>
                <w:sz w:val="24"/>
                <w:szCs w:val="24"/>
                <w:highlight w:val="none"/>
              </w:rPr>
            </w:pPr>
            <w:r>
              <w:rPr>
                <w:rFonts w:hint="eastAsia" w:ascii="仿宋" w:hAnsi="仿宋" w:eastAsia="仿宋" w:cs="仿宋"/>
                <w:b/>
                <w:color w:val="auto"/>
                <w:sz w:val="24"/>
                <w:szCs w:val="24"/>
                <w:highlight w:val="none"/>
              </w:rPr>
              <w:t>签订时间：</w:t>
            </w:r>
            <w:r>
              <w:rPr>
                <w:rFonts w:hint="eastAsia" w:ascii="仿宋" w:hAnsi="仿宋" w:eastAsia="仿宋" w:cs="仿宋"/>
                <w:color w:val="auto"/>
                <w:sz w:val="24"/>
                <w:szCs w:val="24"/>
                <w:highlight w:val="none"/>
              </w:rPr>
              <w:t xml:space="preserve">202 年   月   日  </w:t>
            </w:r>
          </w:p>
        </w:tc>
      </w:tr>
      <w:tr>
        <w:tblPrEx>
          <w:tblCellMar>
            <w:top w:w="0" w:type="dxa"/>
            <w:left w:w="108" w:type="dxa"/>
            <w:bottom w:w="0" w:type="dxa"/>
            <w:right w:w="108" w:type="dxa"/>
          </w:tblCellMar>
        </w:tblPrEx>
        <w:trPr>
          <w:trHeight w:val="287" w:hRule="atLeast"/>
          <w:jc w:val="center"/>
        </w:trPr>
        <w:tc>
          <w:tcPr>
            <w:tcW w:w="4077" w:type="dxa"/>
            <w:tcBorders>
              <w:top w:val="single" w:color="auto" w:sz="4" w:space="0"/>
              <w:left w:val="single" w:color="auto" w:sz="4" w:space="0"/>
              <w:bottom w:val="single" w:color="auto" w:sz="4" w:space="0"/>
              <w:right w:val="single" w:color="auto" w:sz="4" w:space="0"/>
            </w:tcBorders>
          </w:tcPr>
          <w:p>
            <w:pPr>
              <w:spacing w:line="360" w:lineRule="auto"/>
              <w:jc w:val="left"/>
              <w:rPr>
                <w:rFonts w:ascii="仿宋" w:hAnsi="仿宋" w:eastAsia="仿宋" w:cs="仿宋"/>
                <w:color w:val="auto"/>
                <w:sz w:val="24"/>
                <w:szCs w:val="24"/>
                <w:highlight w:val="none"/>
              </w:rPr>
            </w:pPr>
            <w:r>
              <w:rPr>
                <w:rFonts w:hint="eastAsia" w:ascii="仿宋" w:hAnsi="仿宋" w:eastAsia="仿宋" w:cs="仿宋"/>
                <w:b/>
                <w:color w:val="auto"/>
                <w:sz w:val="24"/>
                <w:szCs w:val="24"/>
                <w:highlight w:val="none"/>
              </w:rPr>
              <w:t>需    方</w:t>
            </w:r>
            <w:r>
              <w:rPr>
                <w:rFonts w:hint="eastAsia" w:ascii="仿宋" w:hAnsi="仿宋" w:eastAsia="仿宋" w:cs="仿宋"/>
                <w:color w:val="auto"/>
                <w:sz w:val="24"/>
                <w:szCs w:val="24"/>
                <w:highlight w:val="none"/>
              </w:rPr>
              <w:t>：中国石油大学（华东）</w:t>
            </w:r>
          </w:p>
        </w:tc>
        <w:tc>
          <w:tcPr>
            <w:tcW w:w="5006" w:type="dxa"/>
            <w:tcBorders>
              <w:top w:val="single" w:color="auto" w:sz="4" w:space="0"/>
              <w:left w:val="single" w:color="auto" w:sz="4" w:space="0"/>
              <w:bottom w:val="single" w:color="auto" w:sz="4" w:space="0"/>
              <w:right w:val="single" w:color="auto" w:sz="4" w:space="0"/>
            </w:tcBorders>
          </w:tcPr>
          <w:p>
            <w:pPr>
              <w:spacing w:line="360" w:lineRule="auto"/>
              <w:jc w:val="left"/>
              <w:rPr>
                <w:rFonts w:ascii="仿宋" w:hAnsi="仿宋" w:eastAsia="仿宋" w:cs="仿宋"/>
                <w:color w:val="auto"/>
                <w:sz w:val="24"/>
                <w:szCs w:val="24"/>
                <w:highlight w:val="none"/>
              </w:rPr>
            </w:pPr>
            <w:r>
              <w:rPr>
                <w:rFonts w:hint="eastAsia" w:ascii="仿宋" w:hAnsi="仿宋" w:eastAsia="仿宋" w:cs="仿宋"/>
                <w:b/>
                <w:color w:val="auto"/>
                <w:sz w:val="24"/>
                <w:szCs w:val="24"/>
                <w:highlight w:val="none"/>
              </w:rPr>
              <w:t>供    方：</w:t>
            </w:r>
            <w:r>
              <w:rPr>
                <w:rFonts w:hint="eastAsia" w:ascii="仿宋" w:hAnsi="仿宋" w:eastAsia="仿宋" w:cs="仿宋"/>
                <w:color w:val="auto"/>
                <w:sz w:val="24"/>
                <w:szCs w:val="24"/>
                <w:highlight w:val="none"/>
              </w:rPr>
              <w:t xml:space="preserve"> </w:t>
            </w:r>
          </w:p>
        </w:tc>
      </w:tr>
    </w:tbl>
    <w:p>
      <w:pPr>
        <w:spacing w:line="480" w:lineRule="auto"/>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 xml:space="preserve">一、产品名称商标、型号、厂家、数量、金额、供货时间及数量    </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0"/>
        <w:gridCol w:w="2084"/>
        <w:gridCol w:w="1033"/>
        <w:gridCol w:w="1252"/>
        <w:gridCol w:w="639"/>
        <w:gridCol w:w="615"/>
        <w:gridCol w:w="1016"/>
        <w:gridCol w:w="19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480" w:type="dxa"/>
            <w:vAlign w:val="center"/>
          </w:tcPr>
          <w:p>
            <w:pPr>
              <w:adjustRightInd w:val="0"/>
              <w:snapToGrid w:val="0"/>
              <w:ind w:left="-23" w:leftChars="-57" w:right="-143" w:rightChars="-51" w:hanging="137" w:hangingChars="57"/>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序号</w:t>
            </w:r>
          </w:p>
        </w:tc>
        <w:tc>
          <w:tcPr>
            <w:tcW w:w="2084" w:type="dxa"/>
            <w:vAlign w:val="center"/>
          </w:tcPr>
          <w:p>
            <w:pPr>
              <w:adjustRightInd w:val="0"/>
              <w:snapToGrid w:val="0"/>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设备名称</w:t>
            </w:r>
          </w:p>
        </w:tc>
        <w:tc>
          <w:tcPr>
            <w:tcW w:w="1033" w:type="dxa"/>
            <w:vAlign w:val="center"/>
          </w:tcPr>
          <w:p>
            <w:pPr>
              <w:adjustRightInd w:val="0"/>
              <w:snapToGrid w:val="0"/>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设备厂商</w:t>
            </w:r>
          </w:p>
        </w:tc>
        <w:tc>
          <w:tcPr>
            <w:tcW w:w="1252" w:type="dxa"/>
            <w:vAlign w:val="center"/>
          </w:tcPr>
          <w:p>
            <w:pPr>
              <w:adjustRightInd w:val="0"/>
              <w:snapToGrid w:val="0"/>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规格型号</w:t>
            </w:r>
          </w:p>
        </w:tc>
        <w:tc>
          <w:tcPr>
            <w:tcW w:w="639" w:type="dxa"/>
            <w:vAlign w:val="center"/>
          </w:tcPr>
          <w:p>
            <w:pPr>
              <w:adjustRightInd w:val="0"/>
              <w:snapToGrid w:val="0"/>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单位</w:t>
            </w:r>
          </w:p>
        </w:tc>
        <w:tc>
          <w:tcPr>
            <w:tcW w:w="615" w:type="dxa"/>
            <w:vAlign w:val="center"/>
          </w:tcPr>
          <w:p>
            <w:pPr>
              <w:adjustRightInd w:val="0"/>
              <w:snapToGrid w:val="0"/>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数量</w:t>
            </w:r>
          </w:p>
        </w:tc>
        <w:tc>
          <w:tcPr>
            <w:tcW w:w="1016" w:type="dxa"/>
            <w:vAlign w:val="center"/>
          </w:tcPr>
          <w:p>
            <w:pPr>
              <w:adjustRightInd w:val="0"/>
              <w:snapToGrid w:val="0"/>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单价</w:t>
            </w:r>
          </w:p>
        </w:tc>
        <w:tc>
          <w:tcPr>
            <w:tcW w:w="1964" w:type="dxa"/>
            <w:vAlign w:val="center"/>
          </w:tcPr>
          <w:p>
            <w:pPr>
              <w:adjustRightInd w:val="0"/>
              <w:snapToGrid w:val="0"/>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480" w:type="dxa"/>
            <w:vAlign w:val="center"/>
          </w:tcPr>
          <w:p>
            <w:pPr>
              <w:adjustRightInd w:val="0"/>
              <w:snapToGrid w:val="0"/>
              <w:spacing w:line="360" w:lineRule="auto"/>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2084" w:type="dxa"/>
            <w:vAlign w:val="center"/>
          </w:tcPr>
          <w:p>
            <w:pPr>
              <w:jc w:val="left"/>
              <w:rPr>
                <w:rFonts w:ascii="仿宋" w:hAnsi="仿宋" w:eastAsia="仿宋" w:cs="仿宋"/>
                <w:color w:val="auto"/>
                <w:sz w:val="24"/>
                <w:szCs w:val="24"/>
                <w:highlight w:val="none"/>
              </w:rPr>
            </w:pPr>
          </w:p>
        </w:tc>
        <w:tc>
          <w:tcPr>
            <w:tcW w:w="1033" w:type="dxa"/>
            <w:vAlign w:val="center"/>
          </w:tcPr>
          <w:p>
            <w:pPr>
              <w:adjustRightInd w:val="0"/>
              <w:snapToGrid w:val="0"/>
              <w:spacing w:line="360" w:lineRule="auto"/>
              <w:jc w:val="left"/>
              <w:rPr>
                <w:rFonts w:ascii="仿宋" w:hAnsi="仿宋" w:eastAsia="仿宋" w:cs="仿宋"/>
                <w:color w:val="auto"/>
                <w:sz w:val="24"/>
                <w:szCs w:val="24"/>
                <w:highlight w:val="none"/>
              </w:rPr>
            </w:pPr>
          </w:p>
        </w:tc>
        <w:tc>
          <w:tcPr>
            <w:tcW w:w="1252" w:type="dxa"/>
            <w:vAlign w:val="center"/>
          </w:tcPr>
          <w:p>
            <w:pPr>
              <w:adjustRightInd w:val="0"/>
              <w:snapToGrid w:val="0"/>
              <w:spacing w:line="360" w:lineRule="auto"/>
              <w:jc w:val="left"/>
              <w:rPr>
                <w:rFonts w:ascii="仿宋" w:hAnsi="仿宋" w:eastAsia="仿宋" w:cs="仿宋"/>
                <w:color w:val="auto"/>
                <w:sz w:val="24"/>
                <w:szCs w:val="24"/>
                <w:highlight w:val="none"/>
              </w:rPr>
            </w:pPr>
          </w:p>
        </w:tc>
        <w:tc>
          <w:tcPr>
            <w:tcW w:w="639" w:type="dxa"/>
            <w:vAlign w:val="center"/>
          </w:tcPr>
          <w:p>
            <w:pPr>
              <w:adjustRightInd w:val="0"/>
              <w:snapToGrid w:val="0"/>
              <w:spacing w:line="360" w:lineRule="auto"/>
              <w:jc w:val="left"/>
              <w:rPr>
                <w:rFonts w:ascii="仿宋" w:hAnsi="仿宋" w:eastAsia="仿宋" w:cs="仿宋"/>
                <w:color w:val="auto"/>
                <w:sz w:val="24"/>
                <w:szCs w:val="24"/>
                <w:highlight w:val="none"/>
              </w:rPr>
            </w:pPr>
          </w:p>
        </w:tc>
        <w:tc>
          <w:tcPr>
            <w:tcW w:w="615" w:type="dxa"/>
            <w:vAlign w:val="center"/>
          </w:tcPr>
          <w:p>
            <w:pPr>
              <w:adjustRightInd w:val="0"/>
              <w:snapToGrid w:val="0"/>
              <w:spacing w:line="360" w:lineRule="auto"/>
              <w:jc w:val="left"/>
              <w:rPr>
                <w:rFonts w:ascii="仿宋" w:hAnsi="仿宋" w:eastAsia="仿宋" w:cs="仿宋"/>
                <w:color w:val="auto"/>
                <w:sz w:val="24"/>
                <w:szCs w:val="24"/>
                <w:highlight w:val="none"/>
              </w:rPr>
            </w:pPr>
          </w:p>
        </w:tc>
        <w:tc>
          <w:tcPr>
            <w:tcW w:w="1016" w:type="dxa"/>
            <w:vAlign w:val="center"/>
          </w:tcPr>
          <w:p>
            <w:pPr>
              <w:jc w:val="left"/>
              <w:rPr>
                <w:rFonts w:ascii="仿宋" w:hAnsi="仿宋" w:eastAsia="仿宋" w:cs="仿宋"/>
                <w:color w:val="auto"/>
                <w:sz w:val="24"/>
                <w:szCs w:val="24"/>
                <w:highlight w:val="none"/>
              </w:rPr>
            </w:pPr>
          </w:p>
        </w:tc>
        <w:tc>
          <w:tcPr>
            <w:tcW w:w="1964" w:type="dxa"/>
            <w:vAlign w:val="center"/>
          </w:tcPr>
          <w:p>
            <w:pPr>
              <w:jc w:val="left"/>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480" w:type="dxa"/>
            <w:vAlign w:val="center"/>
          </w:tcPr>
          <w:p>
            <w:pPr>
              <w:adjustRightInd w:val="0"/>
              <w:snapToGrid w:val="0"/>
              <w:spacing w:line="360" w:lineRule="auto"/>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2084" w:type="dxa"/>
            <w:vAlign w:val="center"/>
          </w:tcPr>
          <w:p>
            <w:pPr>
              <w:adjustRightInd w:val="0"/>
              <w:snapToGrid w:val="0"/>
              <w:jc w:val="left"/>
              <w:rPr>
                <w:rFonts w:ascii="仿宋" w:hAnsi="仿宋" w:eastAsia="仿宋" w:cs="仿宋"/>
                <w:b/>
                <w:color w:val="auto"/>
                <w:sz w:val="24"/>
                <w:szCs w:val="24"/>
                <w:highlight w:val="none"/>
              </w:rPr>
            </w:pPr>
          </w:p>
        </w:tc>
        <w:tc>
          <w:tcPr>
            <w:tcW w:w="1033" w:type="dxa"/>
            <w:vAlign w:val="center"/>
          </w:tcPr>
          <w:p>
            <w:pPr>
              <w:adjustRightInd w:val="0"/>
              <w:snapToGrid w:val="0"/>
              <w:spacing w:line="360" w:lineRule="auto"/>
              <w:jc w:val="left"/>
              <w:rPr>
                <w:rFonts w:ascii="仿宋" w:hAnsi="仿宋" w:eastAsia="仿宋" w:cs="仿宋"/>
                <w:color w:val="auto"/>
                <w:sz w:val="24"/>
                <w:szCs w:val="24"/>
                <w:highlight w:val="none"/>
              </w:rPr>
            </w:pPr>
          </w:p>
        </w:tc>
        <w:tc>
          <w:tcPr>
            <w:tcW w:w="1252" w:type="dxa"/>
            <w:vAlign w:val="center"/>
          </w:tcPr>
          <w:p>
            <w:pPr>
              <w:adjustRightInd w:val="0"/>
              <w:snapToGrid w:val="0"/>
              <w:spacing w:line="360" w:lineRule="auto"/>
              <w:jc w:val="left"/>
              <w:rPr>
                <w:rFonts w:ascii="仿宋" w:hAnsi="仿宋" w:eastAsia="仿宋" w:cs="仿宋"/>
                <w:color w:val="auto"/>
                <w:sz w:val="24"/>
                <w:szCs w:val="24"/>
                <w:highlight w:val="none"/>
              </w:rPr>
            </w:pPr>
          </w:p>
        </w:tc>
        <w:tc>
          <w:tcPr>
            <w:tcW w:w="639" w:type="dxa"/>
            <w:vAlign w:val="center"/>
          </w:tcPr>
          <w:p>
            <w:pPr>
              <w:adjustRightInd w:val="0"/>
              <w:snapToGrid w:val="0"/>
              <w:spacing w:line="360" w:lineRule="auto"/>
              <w:jc w:val="left"/>
              <w:rPr>
                <w:rFonts w:ascii="仿宋" w:hAnsi="仿宋" w:eastAsia="仿宋" w:cs="仿宋"/>
                <w:color w:val="auto"/>
                <w:sz w:val="24"/>
                <w:szCs w:val="24"/>
                <w:highlight w:val="none"/>
              </w:rPr>
            </w:pPr>
          </w:p>
        </w:tc>
        <w:tc>
          <w:tcPr>
            <w:tcW w:w="615" w:type="dxa"/>
            <w:vAlign w:val="center"/>
          </w:tcPr>
          <w:p>
            <w:pPr>
              <w:adjustRightInd w:val="0"/>
              <w:snapToGrid w:val="0"/>
              <w:spacing w:line="360" w:lineRule="auto"/>
              <w:jc w:val="left"/>
              <w:rPr>
                <w:rFonts w:ascii="仿宋" w:hAnsi="仿宋" w:eastAsia="仿宋" w:cs="仿宋"/>
                <w:color w:val="auto"/>
                <w:sz w:val="24"/>
                <w:szCs w:val="24"/>
                <w:highlight w:val="none"/>
              </w:rPr>
            </w:pPr>
          </w:p>
        </w:tc>
        <w:tc>
          <w:tcPr>
            <w:tcW w:w="1016" w:type="dxa"/>
            <w:vAlign w:val="center"/>
          </w:tcPr>
          <w:p>
            <w:pPr>
              <w:jc w:val="left"/>
              <w:rPr>
                <w:rFonts w:ascii="仿宋" w:hAnsi="仿宋" w:eastAsia="仿宋" w:cs="仿宋"/>
                <w:color w:val="auto"/>
                <w:sz w:val="24"/>
                <w:szCs w:val="24"/>
                <w:highlight w:val="none"/>
              </w:rPr>
            </w:pPr>
          </w:p>
        </w:tc>
        <w:tc>
          <w:tcPr>
            <w:tcW w:w="1964" w:type="dxa"/>
            <w:vAlign w:val="center"/>
          </w:tcPr>
          <w:p>
            <w:pPr>
              <w:jc w:val="left"/>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3" w:hRule="atLeast"/>
          <w:jc w:val="center"/>
        </w:trPr>
        <w:tc>
          <w:tcPr>
            <w:tcW w:w="9083" w:type="dxa"/>
            <w:gridSpan w:val="8"/>
            <w:vAlign w:val="center"/>
          </w:tcPr>
          <w:p>
            <w:pPr>
              <w:adjustRightInd w:val="0"/>
              <w:snapToGrid w:val="0"/>
              <w:spacing w:line="360" w:lineRule="auto"/>
              <w:jc w:val="left"/>
              <w:rPr>
                <w:rFonts w:ascii="仿宋" w:hAnsi="仿宋" w:eastAsia="仿宋" w:cs="仿宋"/>
                <w:color w:val="auto"/>
                <w:sz w:val="24"/>
                <w:szCs w:val="24"/>
                <w:highlight w:val="none"/>
              </w:rPr>
            </w:pPr>
            <w:r>
              <w:rPr>
                <w:rFonts w:hint="eastAsia" w:ascii="仿宋" w:hAnsi="仿宋" w:eastAsia="仿宋" w:cs="仿宋"/>
                <w:b/>
                <w:color w:val="auto"/>
                <w:sz w:val="24"/>
                <w:szCs w:val="24"/>
                <w:highlight w:val="none"/>
              </w:rPr>
              <w:t>人民币（大写）合计：    元整</w:t>
            </w:r>
          </w:p>
        </w:tc>
      </w:tr>
    </w:tbl>
    <w:p>
      <w:pPr>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 xml:space="preserve">   2022年</w:t>
      </w:r>
      <w:r>
        <w:rPr>
          <w:rFonts w:hint="eastAsia" w:ascii="仿宋" w:hAnsi="仿宋" w:eastAsia="仿宋" w:cs="仿宋"/>
          <w:color w:val="auto"/>
          <w:kern w:val="1"/>
          <w:sz w:val="24"/>
          <w:szCs w:val="24"/>
          <w:highlight w:val="none"/>
          <w:u w:val="single"/>
        </w:rPr>
        <w:t xml:space="preserve"> </w:t>
      </w:r>
      <w:r>
        <w:rPr>
          <w:rFonts w:hint="eastAsia" w:ascii="仿宋" w:hAnsi="仿宋" w:eastAsia="仿宋" w:cs="仿宋"/>
          <w:color w:val="auto"/>
          <w:kern w:val="1"/>
          <w:sz w:val="24"/>
          <w:szCs w:val="24"/>
          <w:highlight w:val="none"/>
        </w:rPr>
        <w:t>月</w:t>
      </w:r>
      <w:r>
        <w:rPr>
          <w:rFonts w:hint="eastAsia" w:ascii="仿宋" w:hAnsi="仿宋" w:eastAsia="仿宋" w:cs="仿宋"/>
          <w:color w:val="auto"/>
          <w:kern w:val="1"/>
          <w:sz w:val="24"/>
          <w:szCs w:val="24"/>
          <w:highlight w:val="none"/>
          <w:u w:val="single"/>
        </w:rPr>
        <w:t xml:space="preserve"> </w:t>
      </w:r>
      <w:r>
        <w:rPr>
          <w:rFonts w:hint="eastAsia" w:ascii="仿宋" w:hAnsi="仿宋" w:eastAsia="仿宋" w:cs="仿宋"/>
          <w:color w:val="auto"/>
          <w:kern w:val="1"/>
          <w:sz w:val="24"/>
          <w:szCs w:val="24"/>
          <w:highlight w:val="none"/>
        </w:rPr>
        <w:t>日</w:t>
      </w:r>
      <w:r>
        <w:rPr>
          <w:rFonts w:hint="eastAsia" w:ascii="仿宋" w:hAnsi="仿宋" w:eastAsia="仿宋" w:cs="仿宋"/>
          <w:b/>
          <w:color w:val="auto"/>
          <w:sz w:val="24"/>
          <w:szCs w:val="24"/>
          <w:highlight w:val="none"/>
        </w:rPr>
        <w:t>前安装调试完成。</w:t>
      </w:r>
    </w:p>
    <w:p>
      <w:pPr>
        <w:spacing w:line="360" w:lineRule="auto"/>
        <w:jc w:val="left"/>
        <w:rPr>
          <w:rFonts w:ascii="仿宋" w:hAnsi="仿宋" w:eastAsia="仿宋" w:cs="仿宋"/>
          <w:color w:val="auto"/>
          <w:sz w:val="24"/>
          <w:szCs w:val="24"/>
          <w:highlight w:val="none"/>
          <w:u w:val="single"/>
        </w:rPr>
      </w:pPr>
      <w:r>
        <w:rPr>
          <w:rFonts w:hint="eastAsia" w:ascii="仿宋" w:hAnsi="仿宋" w:eastAsia="仿宋" w:cs="仿宋"/>
          <w:b/>
          <w:color w:val="auto"/>
          <w:sz w:val="24"/>
          <w:szCs w:val="24"/>
          <w:highlight w:val="none"/>
        </w:rPr>
        <w:t>二、质量要求技术标准，供方对质量负责的条件和期限：</w:t>
      </w:r>
      <w:r>
        <w:rPr>
          <w:rFonts w:hint="eastAsia" w:ascii="仿宋" w:hAnsi="仿宋" w:eastAsia="仿宋" w:cs="仿宋"/>
          <w:color w:val="auto"/>
          <w:sz w:val="24"/>
          <w:szCs w:val="24"/>
          <w:highlight w:val="none"/>
          <w:u w:val="single"/>
        </w:rPr>
        <w:t xml:space="preserve">  按国家此类产品质量标准和双方招投标文件约定执行，免费质保期5年，免费保修时间从验收合格之日起计算。 </w:t>
      </w:r>
    </w:p>
    <w:p>
      <w:pPr>
        <w:spacing w:line="360" w:lineRule="auto"/>
        <w:jc w:val="left"/>
        <w:rPr>
          <w:rFonts w:ascii="仿宋" w:hAnsi="仿宋" w:eastAsia="仿宋" w:cs="仿宋"/>
          <w:color w:val="auto"/>
          <w:sz w:val="24"/>
          <w:szCs w:val="24"/>
          <w:highlight w:val="none"/>
          <w:u w:val="single"/>
        </w:rPr>
      </w:pPr>
      <w:r>
        <w:rPr>
          <w:rFonts w:hint="eastAsia" w:ascii="仿宋" w:hAnsi="仿宋" w:eastAsia="仿宋" w:cs="仿宋"/>
          <w:b/>
          <w:color w:val="auto"/>
          <w:sz w:val="24"/>
          <w:szCs w:val="24"/>
          <w:highlight w:val="none"/>
        </w:rPr>
        <w:t>三、交（提）货地点方式：</w:t>
      </w:r>
      <w:r>
        <w:rPr>
          <w:rFonts w:hint="eastAsia" w:ascii="仿宋" w:hAnsi="仿宋" w:eastAsia="仿宋" w:cs="仿宋"/>
          <w:color w:val="auto"/>
          <w:sz w:val="24"/>
          <w:szCs w:val="24"/>
          <w:highlight w:val="none"/>
          <w:u w:val="single"/>
        </w:rPr>
        <w:t xml:space="preserve">  中国石油大学（华东）古镇口校区                           </w:t>
      </w:r>
    </w:p>
    <w:p>
      <w:pPr>
        <w:spacing w:line="360" w:lineRule="auto"/>
        <w:jc w:val="left"/>
        <w:rPr>
          <w:rFonts w:ascii="仿宋" w:hAnsi="仿宋" w:eastAsia="仿宋" w:cs="仿宋"/>
          <w:color w:val="auto"/>
          <w:sz w:val="24"/>
          <w:szCs w:val="24"/>
          <w:highlight w:val="none"/>
          <w:u w:val="single"/>
        </w:rPr>
      </w:pPr>
      <w:r>
        <w:rPr>
          <w:rFonts w:hint="eastAsia" w:ascii="仿宋" w:hAnsi="仿宋" w:eastAsia="仿宋" w:cs="仿宋"/>
          <w:b/>
          <w:color w:val="auto"/>
          <w:sz w:val="24"/>
          <w:szCs w:val="24"/>
          <w:highlight w:val="none"/>
        </w:rPr>
        <w:t>四、运输方式、到达港及费用负担：</w:t>
      </w:r>
      <w:r>
        <w:rPr>
          <w:rFonts w:hint="eastAsia" w:ascii="仿宋" w:hAnsi="仿宋" w:eastAsia="仿宋" w:cs="仿宋"/>
          <w:color w:val="auto"/>
          <w:sz w:val="24"/>
          <w:szCs w:val="24"/>
          <w:highlight w:val="none"/>
          <w:u w:val="single"/>
        </w:rPr>
        <w:t xml:space="preserve">  汽车运输，费用由供方承担；设备全部到货后供方需向国有资产与实验室管理处设备管理科提供双方签字确认的到货单。 </w:t>
      </w:r>
    </w:p>
    <w:p>
      <w:pPr>
        <w:spacing w:line="360" w:lineRule="auto"/>
        <w:jc w:val="left"/>
        <w:rPr>
          <w:rFonts w:ascii="仿宋" w:hAnsi="仿宋" w:eastAsia="仿宋" w:cs="仿宋"/>
          <w:color w:val="auto"/>
          <w:sz w:val="24"/>
          <w:szCs w:val="24"/>
          <w:highlight w:val="none"/>
          <w:u w:val="single"/>
        </w:rPr>
      </w:pPr>
      <w:r>
        <w:rPr>
          <w:rFonts w:hint="eastAsia" w:ascii="仿宋" w:hAnsi="仿宋" w:eastAsia="仿宋" w:cs="仿宋"/>
          <w:b/>
          <w:color w:val="auto"/>
          <w:sz w:val="24"/>
          <w:szCs w:val="24"/>
          <w:highlight w:val="none"/>
        </w:rPr>
        <w:t>五、包装标准、包装物的供应与回收：</w:t>
      </w:r>
      <w:r>
        <w:rPr>
          <w:rFonts w:hint="eastAsia" w:ascii="仿宋" w:hAnsi="仿宋" w:eastAsia="仿宋" w:cs="仿宋"/>
          <w:color w:val="auto"/>
          <w:sz w:val="24"/>
          <w:szCs w:val="24"/>
          <w:highlight w:val="none"/>
          <w:u w:val="single"/>
        </w:rPr>
        <w:t xml:space="preserve"> 按国家相关标准进行包装，包装物不回收。        </w:t>
      </w:r>
    </w:p>
    <w:p>
      <w:pPr>
        <w:spacing w:line="360" w:lineRule="auto"/>
        <w:jc w:val="left"/>
        <w:rPr>
          <w:rFonts w:ascii="仿宋" w:hAnsi="仿宋" w:eastAsia="仿宋" w:cs="仿宋"/>
          <w:color w:val="auto"/>
          <w:sz w:val="24"/>
          <w:szCs w:val="24"/>
          <w:highlight w:val="none"/>
          <w:u w:val="single"/>
        </w:rPr>
      </w:pPr>
      <w:r>
        <w:rPr>
          <w:rFonts w:hint="eastAsia" w:ascii="仿宋" w:hAnsi="仿宋" w:eastAsia="仿宋" w:cs="仿宋"/>
          <w:b/>
          <w:color w:val="auto"/>
          <w:sz w:val="24"/>
          <w:szCs w:val="24"/>
          <w:highlight w:val="none"/>
        </w:rPr>
        <w:t>六、验收标准、方法及提出异议期：</w:t>
      </w:r>
      <w:r>
        <w:rPr>
          <w:rFonts w:hint="eastAsia" w:ascii="仿宋" w:hAnsi="仿宋" w:eastAsia="仿宋" w:cs="仿宋"/>
          <w:color w:val="auto"/>
          <w:sz w:val="24"/>
          <w:szCs w:val="24"/>
          <w:highlight w:val="none"/>
          <w:u w:val="single"/>
        </w:rPr>
        <w:t xml:space="preserve"> 按国家标准和双方招投标文件及具体技术约定执行，样品封存，参照样品质量标准验收，如供方未按合同执行，除扣除其保证金外，按双方招投标文件具体约定进行处理；需方收到设备，且供方安装调试完毕具备验收条件后15个工作日内验收，供方产品如有异议需在7日内提出。</w:t>
      </w:r>
    </w:p>
    <w:p>
      <w:pPr>
        <w:spacing w:line="360" w:lineRule="auto"/>
        <w:jc w:val="left"/>
        <w:rPr>
          <w:rFonts w:ascii="仿宋" w:hAnsi="仿宋" w:eastAsia="仿宋" w:cs="仿宋"/>
          <w:color w:val="auto"/>
          <w:sz w:val="24"/>
          <w:szCs w:val="24"/>
          <w:highlight w:val="none"/>
          <w:u w:val="single"/>
        </w:rPr>
      </w:pPr>
      <w:r>
        <w:rPr>
          <w:rFonts w:hint="eastAsia" w:ascii="仿宋" w:hAnsi="仿宋" w:eastAsia="仿宋" w:cs="仿宋"/>
          <w:b/>
          <w:color w:val="auto"/>
          <w:sz w:val="24"/>
          <w:szCs w:val="24"/>
          <w:highlight w:val="none"/>
        </w:rPr>
        <w:t>七、随机备品、配件工具数量及供应办法：</w:t>
      </w:r>
      <w:r>
        <w:rPr>
          <w:rFonts w:hint="eastAsia" w:ascii="仿宋" w:hAnsi="仿宋" w:eastAsia="仿宋" w:cs="仿宋"/>
          <w:color w:val="auto"/>
          <w:sz w:val="24"/>
          <w:szCs w:val="24"/>
          <w:highlight w:val="none"/>
          <w:u w:val="single"/>
        </w:rPr>
        <w:t xml:space="preserve">  按具体约定提供。                         </w:t>
      </w:r>
    </w:p>
    <w:p>
      <w:pPr>
        <w:widowControl/>
        <w:tabs>
          <w:tab w:val="left" w:pos="0"/>
        </w:tabs>
        <w:spacing w:line="400" w:lineRule="atLeast"/>
        <w:ind w:left="2"/>
        <w:jc w:val="left"/>
        <w:rPr>
          <w:rFonts w:ascii="仿宋" w:hAnsi="仿宋" w:eastAsia="仿宋" w:cs="仿宋"/>
          <w:color w:val="auto"/>
          <w:sz w:val="24"/>
          <w:szCs w:val="24"/>
          <w:highlight w:val="none"/>
          <w:u w:val="single"/>
        </w:rPr>
      </w:pPr>
      <w:r>
        <w:rPr>
          <w:rFonts w:hint="eastAsia" w:ascii="仿宋" w:hAnsi="仿宋" w:eastAsia="仿宋" w:cs="仿宋"/>
          <w:b/>
          <w:color w:val="auto"/>
          <w:sz w:val="24"/>
          <w:szCs w:val="24"/>
          <w:highlight w:val="none"/>
        </w:rPr>
        <w:t>八、结算方式及期限</w:t>
      </w:r>
      <w:r>
        <w:rPr>
          <w:rFonts w:hint="eastAsia" w:ascii="仿宋" w:hAnsi="仿宋" w:eastAsia="仿宋" w:cs="仿宋"/>
          <w:color w:val="auto"/>
          <w:sz w:val="24"/>
          <w:szCs w:val="24"/>
          <w:highlight w:val="none"/>
          <w:u w:val="single"/>
        </w:rPr>
        <w:t>：本项目设备全部到货、安装并验收合格后30日内供方开具全额合同货款发票，凭用户签字、国有资产管理处盖章的验收单支付合同货款的90%；其余10%款项为质保金，验收合格一年后视产品质量及服务情况，支付尾款。</w:t>
      </w:r>
    </w:p>
    <w:p>
      <w:pPr>
        <w:widowControl/>
        <w:wordWrap w:val="0"/>
        <w:spacing w:line="400" w:lineRule="atLeast"/>
        <w:ind w:left="1270" w:hanging="1270" w:hangingChars="527"/>
        <w:jc w:val="left"/>
        <w:rPr>
          <w:rFonts w:ascii="仿宋" w:hAnsi="仿宋" w:eastAsia="仿宋" w:cs="仿宋"/>
          <w:color w:val="auto"/>
          <w:sz w:val="24"/>
          <w:szCs w:val="24"/>
          <w:highlight w:val="none"/>
          <w:u w:val="single"/>
        </w:rPr>
      </w:pPr>
      <w:r>
        <w:rPr>
          <w:rFonts w:hint="eastAsia" w:ascii="仿宋" w:hAnsi="仿宋" w:eastAsia="仿宋" w:cs="仿宋"/>
          <w:b/>
          <w:color w:val="auto"/>
          <w:sz w:val="24"/>
          <w:szCs w:val="24"/>
          <w:highlight w:val="none"/>
        </w:rPr>
        <w:t>九、如需提供担保，另立合同担保书，作为本合同附件：</w:t>
      </w:r>
      <w:r>
        <w:rPr>
          <w:rFonts w:hint="eastAsia" w:ascii="仿宋" w:hAnsi="仿宋" w:eastAsia="仿宋" w:cs="仿宋"/>
          <w:color w:val="auto"/>
          <w:sz w:val="24"/>
          <w:szCs w:val="24"/>
          <w:highlight w:val="none"/>
          <w:u w:val="single"/>
        </w:rPr>
        <w:t xml:space="preserve">  无。                     </w:t>
      </w:r>
    </w:p>
    <w:p>
      <w:pPr>
        <w:spacing w:line="360" w:lineRule="auto"/>
        <w:jc w:val="left"/>
        <w:rPr>
          <w:rFonts w:ascii="仿宋" w:hAnsi="仿宋" w:eastAsia="仿宋" w:cs="仿宋"/>
          <w:color w:val="auto"/>
          <w:sz w:val="24"/>
          <w:szCs w:val="24"/>
          <w:highlight w:val="none"/>
          <w:u w:val="single"/>
        </w:rPr>
      </w:pPr>
      <w:r>
        <w:rPr>
          <w:rFonts w:hint="eastAsia" w:ascii="仿宋" w:hAnsi="仿宋" w:eastAsia="仿宋" w:cs="仿宋"/>
          <w:b/>
          <w:color w:val="auto"/>
          <w:sz w:val="24"/>
          <w:szCs w:val="24"/>
          <w:highlight w:val="none"/>
        </w:rPr>
        <w:t>十、其他约定事项：</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color w:val="auto"/>
          <w:sz w:val="24"/>
          <w:szCs w:val="24"/>
          <w:highlight w:val="none"/>
          <w:u w:val="single"/>
        </w:rPr>
        <w:t>违约责任由违约方承担，双方协商解决或按国家有关法规处理；</w:t>
      </w:r>
      <w:r>
        <w:rPr>
          <w:rFonts w:hint="eastAsia" w:ascii="仿宋" w:hAnsi="仿宋" w:eastAsia="仿宋" w:cs="仿宋"/>
          <w:bCs/>
          <w:color w:val="auto"/>
          <w:sz w:val="24"/>
          <w:szCs w:val="24"/>
          <w:highlight w:val="none"/>
          <w:u w:val="single"/>
        </w:rPr>
        <w:t>本合同一式柒份，需方五份，供方两份，</w:t>
      </w:r>
      <w:r>
        <w:rPr>
          <w:rFonts w:hint="eastAsia" w:ascii="仿宋" w:hAnsi="仿宋" w:eastAsia="仿宋" w:cs="仿宋"/>
          <w:color w:val="auto"/>
          <w:sz w:val="24"/>
          <w:szCs w:val="24"/>
          <w:highlight w:val="none"/>
          <w:u w:val="single"/>
        </w:rPr>
        <w:t xml:space="preserve">双方签字并盖章后生效。需方针对本项目招标文件及供方针对本项目的应标文件作为合同附件。 </w:t>
      </w:r>
    </w:p>
    <w:tbl>
      <w:tblPr>
        <w:tblStyle w:val="37"/>
        <w:tblpPr w:leftFromText="180" w:rightFromText="180" w:vertAnchor="text" w:horzAnchor="margin" w:tblpY="2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49" w:hRule="atLeast"/>
        </w:trPr>
        <w:tc>
          <w:tcPr>
            <w:tcW w:w="4264" w:type="dxa"/>
          </w:tcPr>
          <w:p>
            <w:pPr>
              <w:spacing w:line="360" w:lineRule="exact"/>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需       方</w:t>
            </w:r>
          </w:p>
          <w:p>
            <w:pPr>
              <w:spacing w:line="360" w:lineRule="exact"/>
              <w:ind w:left="1680" w:hanging="1680" w:hangingChars="7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单位名称（章）：中国石油大学（华东）</w:t>
            </w:r>
          </w:p>
          <w:p>
            <w:pPr>
              <w:spacing w:line="360" w:lineRule="exact"/>
              <w:ind w:left="1200" w:hanging="1200" w:hangingChars="5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单位地址：青岛市黄岛区长江西路66号</w:t>
            </w:r>
          </w:p>
          <w:p>
            <w:pPr>
              <w:spacing w:line="360" w:lineRule="exact"/>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委托代理人：</w:t>
            </w:r>
          </w:p>
          <w:p>
            <w:pPr>
              <w:spacing w:line="360" w:lineRule="exact"/>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电    话：0532-86981607</w:t>
            </w:r>
          </w:p>
          <w:p>
            <w:pPr>
              <w:spacing w:line="360" w:lineRule="exact"/>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开 户 名：中国石油大学(华东) </w:t>
            </w:r>
          </w:p>
          <w:p>
            <w:pPr>
              <w:spacing w:line="360" w:lineRule="exact"/>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开户银行：中国银行股份有限公司西海岸新区分行</w:t>
            </w:r>
          </w:p>
          <w:p>
            <w:pPr>
              <w:spacing w:line="360" w:lineRule="exact"/>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账    号：215604391524</w:t>
            </w:r>
          </w:p>
          <w:p>
            <w:pPr>
              <w:spacing w:line="360" w:lineRule="exact"/>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邮政编码：266580</w:t>
            </w:r>
          </w:p>
        </w:tc>
        <w:tc>
          <w:tcPr>
            <w:tcW w:w="4819" w:type="dxa"/>
          </w:tcPr>
          <w:p>
            <w:pPr>
              <w:spacing w:line="360" w:lineRule="exact"/>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供      方</w:t>
            </w:r>
          </w:p>
          <w:p>
            <w:pPr>
              <w:spacing w:line="360" w:lineRule="exact"/>
              <w:ind w:left="1680" w:hanging="1680" w:hangingChars="700"/>
              <w:jc w:val="left"/>
              <w:rPr>
                <w:rFonts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单位名称（章）：</w:t>
            </w:r>
            <w:r>
              <w:rPr>
                <w:rFonts w:hint="eastAsia" w:ascii="仿宋" w:hAnsi="仿宋" w:eastAsia="仿宋" w:cs="仿宋"/>
                <w:color w:val="auto"/>
                <w:kern w:val="0"/>
                <w:sz w:val="24"/>
                <w:szCs w:val="24"/>
                <w:highlight w:val="none"/>
              </w:rPr>
              <w:t xml:space="preserve"> </w:t>
            </w:r>
          </w:p>
          <w:p>
            <w:pPr>
              <w:spacing w:line="360" w:lineRule="exact"/>
              <w:ind w:left="960" w:hanging="960" w:hangingChars="4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单位地址：</w:t>
            </w:r>
          </w:p>
          <w:p>
            <w:pPr>
              <w:spacing w:line="360" w:lineRule="exact"/>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委托代理人：</w:t>
            </w:r>
          </w:p>
          <w:p>
            <w:pPr>
              <w:spacing w:line="360" w:lineRule="exact"/>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电    话：</w:t>
            </w:r>
          </w:p>
          <w:p>
            <w:pPr>
              <w:spacing w:line="360" w:lineRule="exact"/>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w:t>
            </w:r>
          </w:p>
          <w:p>
            <w:pPr>
              <w:spacing w:line="360" w:lineRule="exact"/>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账    号： </w:t>
            </w:r>
          </w:p>
          <w:p>
            <w:pPr>
              <w:spacing w:line="360" w:lineRule="exact"/>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邮政编码：</w:t>
            </w:r>
          </w:p>
        </w:tc>
      </w:tr>
    </w:tbl>
    <w:p>
      <w:pPr>
        <w:spacing w:line="520" w:lineRule="exact"/>
        <w:jc w:val="left"/>
        <w:rPr>
          <w:rFonts w:ascii="仿宋" w:hAnsi="仿宋" w:eastAsia="仿宋" w:cs="仿宋"/>
          <w:color w:val="auto"/>
          <w:sz w:val="36"/>
          <w:szCs w:val="36"/>
          <w:highlight w:val="none"/>
        </w:rPr>
      </w:pPr>
      <w:bookmarkStart w:id="80" w:name="_Toc325620723"/>
    </w:p>
    <w:p>
      <w:pPr>
        <w:spacing w:line="520" w:lineRule="exact"/>
        <w:jc w:val="left"/>
        <w:rPr>
          <w:rFonts w:ascii="仿宋" w:hAnsi="仿宋" w:eastAsia="仿宋" w:cs="仿宋"/>
          <w:color w:val="auto"/>
          <w:sz w:val="36"/>
          <w:szCs w:val="36"/>
          <w:highlight w:val="none"/>
        </w:rPr>
      </w:pPr>
    </w:p>
    <w:p>
      <w:pPr>
        <w:spacing w:line="520" w:lineRule="exact"/>
        <w:jc w:val="left"/>
        <w:rPr>
          <w:rFonts w:ascii="仿宋" w:hAnsi="仿宋" w:eastAsia="仿宋" w:cs="仿宋"/>
          <w:color w:val="auto"/>
          <w:sz w:val="36"/>
          <w:szCs w:val="36"/>
          <w:highlight w:val="none"/>
        </w:rPr>
      </w:pPr>
    </w:p>
    <w:p>
      <w:pPr>
        <w:spacing w:line="520" w:lineRule="exact"/>
        <w:jc w:val="left"/>
        <w:rPr>
          <w:rFonts w:ascii="仿宋" w:hAnsi="仿宋" w:eastAsia="仿宋" w:cs="仿宋"/>
          <w:color w:val="auto"/>
          <w:sz w:val="36"/>
          <w:szCs w:val="36"/>
          <w:highlight w:val="none"/>
        </w:rPr>
      </w:pPr>
    </w:p>
    <w:p>
      <w:pPr>
        <w:spacing w:line="520" w:lineRule="exact"/>
        <w:jc w:val="left"/>
        <w:rPr>
          <w:rFonts w:ascii="仿宋" w:hAnsi="仿宋" w:eastAsia="仿宋" w:cs="仿宋"/>
          <w:color w:val="auto"/>
          <w:sz w:val="36"/>
          <w:szCs w:val="36"/>
          <w:highlight w:val="none"/>
        </w:rPr>
      </w:pPr>
    </w:p>
    <w:p>
      <w:pPr>
        <w:spacing w:line="520" w:lineRule="exact"/>
        <w:jc w:val="left"/>
        <w:rPr>
          <w:rFonts w:ascii="仿宋" w:hAnsi="仿宋" w:eastAsia="仿宋" w:cs="仿宋"/>
          <w:color w:val="auto"/>
          <w:sz w:val="36"/>
          <w:szCs w:val="36"/>
          <w:highlight w:val="none"/>
        </w:rPr>
      </w:pPr>
    </w:p>
    <w:p>
      <w:pPr>
        <w:spacing w:line="520" w:lineRule="exact"/>
        <w:jc w:val="left"/>
        <w:rPr>
          <w:rFonts w:ascii="仿宋" w:hAnsi="仿宋" w:eastAsia="仿宋" w:cs="仿宋"/>
          <w:color w:val="auto"/>
          <w:sz w:val="36"/>
          <w:szCs w:val="36"/>
          <w:highlight w:val="none"/>
        </w:rPr>
      </w:pPr>
    </w:p>
    <w:p>
      <w:pPr>
        <w:spacing w:line="520" w:lineRule="exact"/>
        <w:jc w:val="left"/>
        <w:rPr>
          <w:rFonts w:ascii="仿宋" w:hAnsi="仿宋" w:eastAsia="仿宋" w:cs="仿宋"/>
          <w:color w:val="auto"/>
          <w:sz w:val="36"/>
          <w:szCs w:val="36"/>
          <w:highlight w:val="none"/>
        </w:rPr>
      </w:pPr>
    </w:p>
    <w:p>
      <w:pPr>
        <w:spacing w:line="520" w:lineRule="exact"/>
        <w:ind w:firstLine="2349" w:firstLineChars="650"/>
        <w:jc w:val="left"/>
        <w:rPr>
          <w:rFonts w:ascii="仿宋" w:hAnsi="仿宋" w:eastAsia="仿宋" w:cs="仿宋"/>
          <w:b/>
          <w:color w:val="auto"/>
          <w:kern w:val="0"/>
          <w:sz w:val="36"/>
          <w:szCs w:val="36"/>
          <w:highlight w:val="none"/>
        </w:rPr>
      </w:pPr>
    </w:p>
    <w:p>
      <w:pPr>
        <w:spacing w:line="520" w:lineRule="exact"/>
        <w:ind w:firstLine="2349" w:firstLineChars="650"/>
        <w:jc w:val="left"/>
        <w:rPr>
          <w:rFonts w:ascii="仿宋" w:hAnsi="仿宋" w:eastAsia="仿宋" w:cs="仿宋"/>
          <w:b/>
          <w:color w:val="auto"/>
          <w:kern w:val="0"/>
          <w:sz w:val="36"/>
          <w:szCs w:val="36"/>
          <w:highlight w:val="none"/>
        </w:rPr>
      </w:pPr>
    </w:p>
    <w:p>
      <w:pPr>
        <w:jc w:val="left"/>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br w:type="page"/>
      </w:r>
    </w:p>
    <w:p>
      <w:pPr>
        <w:pStyle w:val="3"/>
        <w:ind w:firstLine="3408" w:firstLineChars="943"/>
        <w:jc w:val="left"/>
        <w:rPr>
          <w:rFonts w:ascii="仿宋" w:hAnsi="仿宋" w:eastAsia="仿宋" w:cs="仿宋"/>
          <w:color w:val="auto"/>
          <w:sz w:val="24"/>
          <w:szCs w:val="24"/>
          <w:highlight w:val="none"/>
        </w:rPr>
      </w:pPr>
      <w:bookmarkStart w:id="81" w:name="_Toc8441"/>
      <w:r>
        <w:rPr>
          <w:rFonts w:hint="eastAsia" w:ascii="仿宋" w:hAnsi="仿宋" w:eastAsia="仿宋" w:cs="仿宋"/>
          <w:color w:val="auto"/>
          <w:sz w:val="36"/>
          <w:szCs w:val="36"/>
          <w:highlight w:val="none"/>
        </w:rPr>
        <w:t>第五部分 用户需求</w:t>
      </w:r>
      <w:bookmarkEnd w:id="80"/>
      <w:r>
        <w:rPr>
          <w:rFonts w:hint="eastAsia" w:ascii="仿宋" w:hAnsi="仿宋" w:eastAsia="仿宋" w:cs="仿宋"/>
          <w:color w:val="auto"/>
          <w:sz w:val="36"/>
          <w:szCs w:val="36"/>
          <w:highlight w:val="none"/>
        </w:rPr>
        <w:t>书</w:t>
      </w:r>
      <w:bookmarkEnd w:id="81"/>
    </w:p>
    <w:p>
      <w:pPr>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特别说明：</w:t>
      </w:r>
      <w:r>
        <w:rPr>
          <w:rFonts w:hint="eastAsia" w:ascii="仿宋" w:hAnsi="仿宋" w:eastAsia="仿宋" w:cs="仿宋"/>
          <w:color w:val="auto"/>
          <w:sz w:val="24"/>
          <w:highlight w:val="none"/>
        </w:rPr>
        <w:t>本招标文件的用户需求书中，最关键技术指标、服务条款或商务要求用“</w:t>
      </w:r>
      <w:r>
        <w:rPr>
          <w:rFonts w:hint="eastAsia" w:ascii="仿宋" w:hAnsi="仿宋" w:eastAsia="仿宋" w:cs="仿宋"/>
          <w:b/>
          <w:color w:val="auto"/>
          <w:sz w:val="21"/>
          <w:szCs w:val="21"/>
          <w:highlight w:val="none"/>
        </w:rPr>
        <w:t>★</w:t>
      </w:r>
      <w:r>
        <w:rPr>
          <w:rFonts w:hint="eastAsia" w:ascii="仿宋" w:hAnsi="仿宋" w:eastAsia="仿宋" w:cs="仿宋"/>
          <w:color w:val="auto"/>
          <w:sz w:val="24"/>
          <w:highlight w:val="none"/>
        </w:rPr>
        <w:t>”标注，投标人必须完全满足或优于这些要求，若有1项未满足或存在负偏离，将按投标无效处理。重要的技术、服务条款或商务要求用“*”标注,无标识则表示一般指标项。付款方式、交货时间和质保期限不得负偏离，否则按投标无效处理。核心产品用“●”标注。需提供样品的产品用“</w:t>
      </w:r>
      <w:r>
        <w:rPr>
          <w:rFonts w:hint="eastAsia" w:ascii="仿宋" w:hAnsi="仿宋" w:eastAsia="仿宋" w:cs="仿宋"/>
          <w:color w:val="auto"/>
          <w:sz w:val="24"/>
          <w:szCs w:val="24"/>
          <w:highlight w:val="none"/>
        </w:rPr>
        <w:t>※</w:t>
      </w:r>
      <w:r>
        <w:rPr>
          <w:rFonts w:hint="eastAsia" w:ascii="仿宋" w:hAnsi="仿宋" w:eastAsia="仿宋" w:cs="仿宋"/>
          <w:color w:val="auto"/>
          <w:sz w:val="24"/>
          <w:highlight w:val="none"/>
        </w:rPr>
        <w:t>”标注。</w:t>
      </w:r>
    </w:p>
    <w:p>
      <w:pPr>
        <w:pStyle w:val="4"/>
        <w:rPr>
          <w:rFonts w:ascii="仿宋" w:hAnsi="仿宋" w:eastAsia="仿宋" w:cs="仿宋"/>
          <w:color w:val="auto"/>
          <w:sz w:val="24"/>
          <w:szCs w:val="24"/>
          <w:highlight w:val="none"/>
        </w:rPr>
      </w:pPr>
      <w:bookmarkStart w:id="82" w:name="_Toc20501"/>
      <w:r>
        <w:rPr>
          <w:rFonts w:hint="eastAsia" w:ascii="仿宋" w:hAnsi="仿宋" w:eastAsia="仿宋" w:cs="仿宋"/>
          <w:color w:val="auto"/>
          <w:sz w:val="28"/>
          <w:szCs w:val="28"/>
          <w:highlight w:val="none"/>
        </w:rPr>
        <w:t>一、</w:t>
      </w:r>
      <w:r>
        <w:rPr>
          <w:rFonts w:hint="eastAsia" w:ascii="仿宋" w:hAnsi="仿宋" w:eastAsia="仿宋" w:cs="仿宋"/>
          <w:color w:val="auto"/>
          <w:sz w:val="24"/>
          <w:szCs w:val="24"/>
          <w:highlight w:val="none"/>
        </w:rPr>
        <w:t>招标产品技术规格、要求和数量（包括附件、图纸等）</w:t>
      </w:r>
      <w:bookmarkEnd w:id="82"/>
    </w:p>
    <w:p>
      <w:pPr>
        <w:spacing w:line="400" w:lineRule="exact"/>
        <w:ind w:firstLine="482" w:firstLineChars="200"/>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（一）有关要求</w:t>
      </w:r>
    </w:p>
    <w:p>
      <w:pPr>
        <w:spacing w:line="400" w:lineRule="exact"/>
        <w:ind w:firstLine="482" w:firstLineChars="200"/>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1.1产品</w:t>
      </w:r>
    </w:p>
    <w:p>
      <w:pPr>
        <w:spacing w:line="4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须按国家标准执行，为采购人提供优质产品，保证所提供的产品属环保产品，符合国家标准、行业标准、地方标准或者其他标准、规范，中标人供货时应当提供有关货物的环保及合格证明材料等。产品以安装完成后成品形势进行验收，验收前产品在运输、搬运、安装过程中产生的损失和由此产生的费用均由中标人承担。投标人应保证货物是全新、未使用过的合格产品。并完全符合合同规定的质量、规格和性能的要求。中标人应保证所提供的货物经正确安装、正常运转和保养后，在其使用寿命期内应具有满意的性能。在货物质量保证期内中标人应对由于设计、工艺或者材料的缺陷而发生的任何不足或者故障负责。</w:t>
      </w:r>
    </w:p>
    <w:p>
      <w:pPr>
        <w:spacing w:line="400" w:lineRule="exact"/>
        <w:ind w:firstLine="482" w:firstLineChars="200"/>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1.2供货要求</w:t>
      </w:r>
    </w:p>
    <w:p>
      <w:pPr>
        <w:spacing w:line="4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（1）投标人在确认中标后，应按照采购人指定的时间、地点，派遣其授权代表与采购人签署合同。</w:t>
      </w:r>
    </w:p>
    <w:p>
      <w:pPr>
        <w:spacing w:line="4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（2）因采购人原因导致中标人未能按期开工或者未按约定完工，影响工期，工期顺延。</w:t>
      </w:r>
    </w:p>
    <w:p>
      <w:pPr>
        <w:spacing w:line="4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（3）因中标人原因未能按时开工或中途无故停工，影响工期，工期不顺延。</w:t>
      </w:r>
    </w:p>
    <w:p>
      <w:pPr>
        <w:spacing w:line="400" w:lineRule="exact"/>
        <w:ind w:firstLine="482" w:firstLineChars="200"/>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1.3样品送样要求</w:t>
      </w:r>
    </w:p>
    <w:p>
      <w:pPr>
        <w:spacing w:line="4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本项目要求提交投标样品，供应商应在提交投标文件截止时间前将投标样品提交到招标单位指定地点，迟于提交投标文件截止时间提交的投标样品，代理机构不予收取（样品递交事宜详见《投标人须知前附表》，样品中途如有损坏招标单位概不负责）。</w:t>
      </w:r>
    </w:p>
    <w:p>
      <w:pPr>
        <w:spacing w:line="4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（2）没有按要求提供的样品代理机构不予接收。</w:t>
      </w:r>
    </w:p>
    <w:p>
      <w:pPr>
        <w:spacing w:line="400" w:lineRule="exact"/>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（3）代理机构在收取样品时没有义务对样品外观验收及性能测试，对样品的破损或质量概不负责。</w:t>
      </w:r>
    </w:p>
    <w:p>
      <w:pPr>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4）招标结束后，中标人的样品由采购人留样直至项目验收，作为履约验收的参考。对于未中标人提供的样品，由于场地空间有限，敬请各有关供应商支持配合，在接到代理机构通知后尽快取回投标品，否则视同供应商不再认领，代理机构有权进行处理。</w:t>
      </w:r>
    </w:p>
    <w:p>
      <w:pPr>
        <w:spacing w:line="360" w:lineRule="auto"/>
        <w:ind w:firstLine="480" w:firstLineChars="200"/>
        <w:rPr>
          <w:rFonts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（5）样品的各项技术质量指标标准应符合招标文件要求，提供样品以样品展板及单独送样形式与投标文件同时提交，展板或样品上必须标识项目名称及样品名称</w:t>
      </w:r>
      <w:r>
        <w:rPr>
          <w:rFonts w:hint="eastAsia" w:ascii="仿宋" w:hAnsi="仿宋" w:eastAsia="仿宋" w:cs="仿宋"/>
          <w:color w:val="auto"/>
          <w:sz w:val="24"/>
          <w:szCs w:val="24"/>
          <w:highlight w:val="none"/>
          <w:lang w:val="zh-CN"/>
        </w:rPr>
        <w:t>。</w:t>
      </w:r>
    </w:p>
    <w:p>
      <w:pPr>
        <w:pStyle w:val="27"/>
        <w:ind w:firstLine="480" w:firstLineChars="200"/>
        <w:jc w:val="left"/>
        <w:rPr>
          <w:rFonts w:ascii="仿宋" w:hAnsi="仿宋" w:eastAsia="仿宋" w:cs="仿宋"/>
          <w:b/>
          <w:bCs/>
          <w:i/>
          <w:iCs/>
          <w:color w:val="auto"/>
          <w:sz w:val="24"/>
          <w:szCs w:val="24"/>
          <w:highlight w:val="none"/>
          <w:lang w:val="zh-CN"/>
        </w:rPr>
      </w:pP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rPr>
        <w:t>6</w:t>
      </w:r>
      <w:r>
        <w:rPr>
          <w:rFonts w:hint="eastAsia" w:ascii="仿宋" w:hAnsi="仿宋" w:eastAsia="仿宋" w:cs="仿宋"/>
          <w:color w:val="auto"/>
          <w:sz w:val="24"/>
          <w:szCs w:val="24"/>
          <w:highlight w:val="none"/>
          <w:lang w:val="zh-CN"/>
        </w:rPr>
        <w:t>）样品封样：封样样品应加贴封样标签，由投标人在封样标签上盖章并由授权代表签字，并应符合招标人的其他封样要求。</w:t>
      </w:r>
    </w:p>
    <w:p>
      <w:pPr>
        <w:pStyle w:val="27"/>
        <w:ind w:firstLine="480" w:firstLineChars="200"/>
        <w:jc w:val="left"/>
        <w:rPr>
          <w:rFonts w:ascii="仿宋" w:hAnsi="仿宋" w:eastAsia="仿宋" w:cs="仿宋"/>
          <w:b/>
          <w:bCs/>
          <w:i/>
          <w:iCs/>
          <w:color w:val="auto"/>
          <w:sz w:val="24"/>
          <w:szCs w:val="24"/>
          <w:highlight w:val="none"/>
          <w:lang w:val="zh-CN"/>
        </w:rPr>
      </w:pP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rPr>
        <w:t>7</w:t>
      </w:r>
      <w:r>
        <w:rPr>
          <w:rFonts w:hint="eastAsia" w:ascii="仿宋" w:hAnsi="仿宋" w:eastAsia="仿宋" w:cs="仿宋"/>
          <w:color w:val="auto"/>
          <w:sz w:val="24"/>
          <w:szCs w:val="24"/>
          <w:highlight w:val="none"/>
          <w:lang w:val="zh-CN"/>
        </w:rPr>
        <w:t>）招标人保留进一步修改产品类型、规格尺寸、颜色、数量、功能等要求的权利。</w:t>
      </w:r>
    </w:p>
    <w:p>
      <w:pPr>
        <w:spacing w:line="360" w:lineRule="auto"/>
        <w:ind w:firstLine="480" w:firstLineChars="200"/>
        <w:rPr>
          <w:rFonts w:ascii="仿宋" w:hAnsi="仿宋" w:eastAsia="仿宋" w:cs="仿宋"/>
          <w:color w:val="auto"/>
          <w:sz w:val="24"/>
          <w:szCs w:val="24"/>
          <w:highlight w:val="none"/>
        </w:rPr>
      </w:pPr>
      <w:bookmarkStart w:id="83" w:name="_Hlk103266470"/>
      <w:r>
        <w:rPr>
          <w:rFonts w:hint="eastAsia" w:ascii="仿宋" w:hAnsi="仿宋" w:eastAsia="仿宋" w:cs="仿宋"/>
          <w:color w:val="auto"/>
          <w:sz w:val="24"/>
          <w:szCs w:val="24"/>
          <w:highlight w:val="none"/>
        </w:rPr>
        <w:t>（8）样品具体要求</w:t>
      </w:r>
    </w:p>
    <w:tbl>
      <w:tblPr>
        <w:tblStyle w:val="3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2"/>
        <w:gridCol w:w="4086"/>
        <w:gridCol w:w="5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3" w:type="pct"/>
            <w:vAlign w:val="center"/>
          </w:tcPr>
          <w:p>
            <w:pPr>
              <w:pStyle w:val="27"/>
              <w:jc w:val="center"/>
              <w:rPr>
                <w:rFonts w:ascii="仿宋" w:hAnsi="仿宋" w:eastAsia="仿宋" w:cs="仿宋"/>
                <w:b/>
                <w:bCs/>
                <w:i/>
                <w:iCs/>
                <w:color w:val="auto"/>
                <w:sz w:val="24"/>
                <w:szCs w:val="24"/>
                <w:highlight w:val="none"/>
              </w:rPr>
            </w:pPr>
            <w:r>
              <w:rPr>
                <w:rFonts w:hint="eastAsia" w:ascii="仿宋" w:hAnsi="仿宋" w:eastAsia="仿宋" w:cs="仿宋"/>
                <w:color w:val="auto"/>
                <w:sz w:val="24"/>
                <w:szCs w:val="24"/>
                <w:highlight w:val="none"/>
              </w:rPr>
              <w:t>编号</w:t>
            </w:r>
          </w:p>
        </w:tc>
        <w:tc>
          <w:tcPr>
            <w:tcW w:w="2051" w:type="pct"/>
            <w:vAlign w:val="center"/>
          </w:tcPr>
          <w:p>
            <w:pPr>
              <w:pStyle w:val="27"/>
              <w:jc w:val="center"/>
              <w:rPr>
                <w:rFonts w:ascii="仿宋" w:hAnsi="仿宋" w:eastAsia="仿宋" w:cs="仿宋"/>
                <w:b/>
                <w:bCs/>
                <w:i/>
                <w:iCs/>
                <w:color w:val="auto"/>
                <w:sz w:val="24"/>
                <w:szCs w:val="24"/>
                <w:highlight w:val="none"/>
              </w:rPr>
            </w:pPr>
            <w:r>
              <w:rPr>
                <w:rFonts w:hint="eastAsia" w:ascii="仿宋" w:hAnsi="仿宋" w:eastAsia="仿宋" w:cs="仿宋"/>
                <w:color w:val="auto"/>
                <w:sz w:val="24"/>
                <w:szCs w:val="24"/>
                <w:highlight w:val="none"/>
              </w:rPr>
              <w:t>送样项目</w:t>
            </w:r>
          </w:p>
        </w:tc>
        <w:tc>
          <w:tcPr>
            <w:tcW w:w="2546" w:type="pct"/>
            <w:vAlign w:val="center"/>
          </w:tcPr>
          <w:p>
            <w:pPr>
              <w:pStyle w:val="27"/>
              <w:jc w:val="center"/>
              <w:rPr>
                <w:rFonts w:ascii="仿宋" w:hAnsi="仿宋" w:eastAsia="仿宋" w:cs="仿宋"/>
                <w:b/>
                <w:bCs/>
                <w:i/>
                <w:iCs/>
                <w:color w:val="auto"/>
                <w:sz w:val="24"/>
                <w:szCs w:val="24"/>
                <w:highlight w:val="none"/>
              </w:rPr>
            </w:pPr>
            <w:r>
              <w:rPr>
                <w:rFonts w:hint="eastAsia" w:ascii="仿宋" w:hAnsi="仿宋" w:eastAsia="仿宋" w:cs="仿宋"/>
                <w:color w:val="auto"/>
                <w:sz w:val="24"/>
                <w:szCs w:val="24"/>
                <w:highlight w:val="none"/>
              </w:rPr>
              <w:t>要求（送样）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3" w:type="pct"/>
            <w:vAlign w:val="center"/>
          </w:tcPr>
          <w:p>
            <w:pPr>
              <w:pStyle w:val="27"/>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2051" w:type="pct"/>
            <w:vAlign w:val="center"/>
          </w:tcPr>
          <w:p>
            <w:pPr>
              <w:pStyle w:val="27"/>
              <w:rPr>
                <w:rFonts w:ascii="仿宋" w:hAnsi="仿宋" w:eastAsia="仿宋" w:cs="仿宋"/>
                <w:b/>
                <w:bCs/>
                <w:i/>
                <w:iCs/>
                <w:color w:val="auto"/>
                <w:sz w:val="24"/>
                <w:szCs w:val="24"/>
                <w:highlight w:val="none"/>
              </w:rPr>
            </w:pPr>
            <w:r>
              <w:rPr>
                <w:rFonts w:hint="eastAsia" w:ascii="仿宋" w:hAnsi="仿宋" w:eastAsia="仿宋" w:cs="仿宋"/>
                <w:color w:val="auto"/>
                <w:sz w:val="24"/>
                <w:szCs w:val="24"/>
                <w:highlight w:val="none"/>
              </w:rPr>
              <w:t>※1-2米组合地柜、吊柜、台面、油烟机、电磁灶</w:t>
            </w:r>
          </w:p>
        </w:tc>
        <w:tc>
          <w:tcPr>
            <w:tcW w:w="2546" w:type="pct"/>
            <w:vAlign w:val="center"/>
          </w:tcPr>
          <w:p>
            <w:pPr>
              <w:pStyle w:val="27"/>
              <w:rPr>
                <w:rFonts w:ascii="仿宋" w:hAnsi="仿宋" w:eastAsia="仿宋" w:cs="仿宋"/>
                <w:b/>
                <w:bCs/>
                <w:i/>
                <w:iCs/>
                <w:color w:val="auto"/>
                <w:sz w:val="24"/>
                <w:szCs w:val="24"/>
                <w:highlight w:val="none"/>
              </w:rPr>
            </w:pPr>
            <w:r>
              <w:rPr>
                <w:rFonts w:hint="eastAsia" w:ascii="仿宋" w:hAnsi="仿宋" w:eastAsia="仿宋" w:cs="仿宋"/>
                <w:color w:val="auto"/>
                <w:sz w:val="24"/>
                <w:szCs w:val="24"/>
                <w:highlight w:val="none"/>
              </w:rPr>
              <w:t>※组合成型1-2米地柜、吊柜、台面、油烟机、电磁灶</w:t>
            </w:r>
          </w:p>
        </w:tc>
      </w:tr>
    </w:tbl>
    <w:p>
      <w:pPr>
        <w:spacing w:line="400" w:lineRule="exac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现场允许对样品做破坏性试验，抽查样品所用材料。</w:t>
      </w:r>
    </w:p>
    <w:p>
      <w:pPr>
        <w:spacing w:line="400" w:lineRule="exact"/>
        <w:ind w:firstLine="482" w:firstLineChars="200"/>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（二）主要材料及参数要求</w:t>
      </w:r>
    </w:p>
    <w:p>
      <w:pPr>
        <w:pStyle w:val="27"/>
        <w:ind w:firstLine="482" w:firstLineChars="200"/>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注意：如有推荐品牌的材料或配件等，投标人提供的产品性能必须等同于或优于推荐品牌产品。</w:t>
      </w:r>
    </w:p>
    <w:p>
      <w:pPr>
        <w:spacing w:line="400" w:lineRule="exact"/>
        <w:ind w:firstLine="482" w:firstLineChars="200"/>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一、橱柜吊柜</w:t>
      </w:r>
    </w:p>
    <w:p>
      <w:pPr>
        <w:pStyle w:val="27"/>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1、门板：</w:t>
      </w:r>
    </w:p>
    <w:p>
      <w:pPr>
        <w:pStyle w:val="27"/>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1.1基材：</w:t>
      </w:r>
      <w:r>
        <w:rPr>
          <w:rFonts w:hint="eastAsia" w:ascii="仿宋" w:hAnsi="仿宋" w:eastAsia="仿宋" w:cs="仿宋"/>
          <w:color w:val="auto"/>
          <w:sz w:val="24"/>
          <w:szCs w:val="24"/>
          <w:highlight w:val="none"/>
          <w:lang w:bidi="ar"/>
        </w:rPr>
        <w:t>厚度E</w:t>
      </w:r>
      <w:r>
        <w:rPr>
          <w:rFonts w:hint="eastAsia" w:ascii="仿宋" w:hAnsi="仿宋" w:eastAsia="仿宋" w:cs="仿宋"/>
          <w:color w:val="auto"/>
          <w:sz w:val="24"/>
          <w:szCs w:val="24"/>
          <w:highlight w:val="none"/>
          <w:vertAlign w:val="subscript"/>
          <w:lang w:bidi="ar"/>
        </w:rPr>
        <w:t>1</w:t>
      </w:r>
      <w:r>
        <w:rPr>
          <w:rFonts w:hint="eastAsia" w:ascii="仿宋" w:hAnsi="仿宋" w:eastAsia="仿宋" w:cs="仿宋"/>
          <w:color w:val="auto"/>
          <w:sz w:val="24"/>
          <w:szCs w:val="24"/>
          <w:highlight w:val="none"/>
          <w:lang w:bidi="ar"/>
        </w:rPr>
        <w:t>级18mm</w:t>
      </w:r>
      <w:r>
        <w:rPr>
          <w:rFonts w:hint="eastAsia" w:ascii="仿宋" w:hAnsi="仿宋" w:eastAsia="仿宋" w:cs="仿宋"/>
          <w:color w:val="auto"/>
          <w:sz w:val="24"/>
          <w:szCs w:val="24"/>
          <w:highlight w:val="none"/>
        </w:rPr>
        <w:t>密度板，基材密度不低于740kg/m³，表面覆吸塑膜皮；</w:t>
      </w:r>
    </w:p>
    <w:p>
      <w:pPr>
        <w:pStyle w:val="27"/>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1.2颜色：建议棕色，具体由甲方指定；</w:t>
      </w:r>
    </w:p>
    <w:p>
      <w:pP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1.3其他基础配置要求：、</w:t>
      </w:r>
    </w:p>
    <w:p>
      <w:pP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1.3.1门板材质及外观：普通吸塑工艺时PVC膜厚度≥0.35mm；纹理要求必须按纹理对齐。</w:t>
      </w:r>
    </w:p>
    <w:p>
      <w:pP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1.3.2耗材：粘结胶采用环保热熔胶。</w:t>
      </w:r>
    </w:p>
    <w:p>
      <w:pP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1.3.3 基材及表面处理：PVC饰面中密度纤维板须符合LYT 1279-2008《聚氯乙烯薄膜饰面人造板》的要求，外观质量达到优等品要求。PVC覆膜门板表面不得出现分层、鼓泡、鼓包、侧面皱折、干湿花、污斑、压痕等外观缺陷，铣花型门板凹槽吸塑到位、光滑顺畅，不允许有橘皮现象;吸塑表面光洁平整，300mm*300mm正面允许有≤0.5mm*0.5mm的颗粒1～3个，小于0.3mm不计，正视不明显。</w:t>
      </w:r>
    </w:p>
    <w:p>
      <w:pP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2、柜体</w:t>
      </w:r>
    </w:p>
    <w:p>
      <w:pPr>
        <w:pStyle w:val="27"/>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2.1基材：</w:t>
      </w:r>
      <w:r>
        <w:rPr>
          <w:rFonts w:hint="eastAsia" w:ascii="仿宋" w:hAnsi="仿宋" w:eastAsia="仿宋" w:cs="仿宋"/>
          <w:color w:val="auto"/>
          <w:sz w:val="24"/>
          <w:szCs w:val="24"/>
          <w:highlight w:val="none"/>
          <w:lang w:bidi="ar"/>
        </w:rPr>
        <w:t>厚度E</w:t>
      </w:r>
      <w:r>
        <w:rPr>
          <w:rFonts w:hint="eastAsia" w:ascii="仿宋" w:hAnsi="仿宋" w:eastAsia="仿宋" w:cs="仿宋"/>
          <w:color w:val="auto"/>
          <w:sz w:val="24"/>
          <w:szCs w:val="24"/>
          <w:highlight w:val="none"/>
          <w:vertAlign w:val="subscript"/>
          <w:lang w:bidi="ar"/>
        </w:rPr>
        <w:t>1</w:t>
      </w:r>
      <w:r>
        <w:rPr>
          <w:rFonts w:hint="eastAsia" w:ascii="仿宋" w:hAnsi="仿宋" w:eastAsia="仿宋" w:cs="仿宋"/>
          <w:color w:val="auto"/>
          <w:sz w:val="24"/>
          <w:szCs w:val="24"/>
          <w:highlight w:val="none"/>
          <w:lang w:bidi="ar"/>
        </w:rPr>
        <w:t>级18mm</w:t>
      </w:r>
      <w:r>
        <w:rPr>
          <w:rFonts w:hint="eastAsia" w:ascii="仿宋" w:hAnsi="仿宋" w:eastAsia="仿宋" w:cs="仿宋"/>
          <w:color w:val="auto"/>
          <w:sz w:val="24"/>
          <w:szCs w:val="24"/>
          <w:highlight w:val="none"/>
        </w:rPr>
        <w:t>双饰面（实木颗粒板）、表面为三聚氰胺纸，用胶量低于5%；</w:t>
      </w:r>
    </w:p>
    <w:p>
      <w:pPr>
        <w:pStyle w:val="27"/>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2.2颜色：建议白色或棕色，具体由甲方指定。</w:t>
      </w:r>
    </w:p>
    <w:p>
      <w:pPr>
        <w:rPr>
          <w:rFonts w:ascii="仿宋" w:hAnsi="仿宋" w:eastAsia="仿宋" w:cs="仿宋"/>
          <w:color w:val="auto"/>
          <w:sz w:val="24"/>
          <w:szCs w:val="24"/>
          <w:highlight w:val="none"/>
        </w:rPr>
      </w:pPr>
    </w:p>
    <w:p>
      <w:pPr>
        <w:pStyle w:val="27"/>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3、背板</w:t>
      </w:r>
    </w:p>
    <w:p>
      <w:pPr>
        <w:pStyle w:val="27"/>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3.1基材：</w:t>
      </w:r>
      <w:r>
        <w:rPr>
          <w:rFonts w:hint="eastAsia" w:ascii="仿宋" w:hAnsi="仿宋" w:eastAsia="仿宋" w:cs="仿宋"/>
          <w:color w:val="auto"/>
          <w:sz w:val="24"/>
          <w:szCs w:val="24"/>
          <w:highlight w:val="none"/>
          <w:lang w:bidi="ar"/>
        </w:rPr>
        <w:t>厚度E</w:t>
      </w:r>
      <w:r>
        <w:rPr>
          <w:rFonts w:hint="eastAsia" w:ascii="仿宋" w:hAnsi="仿宋" w:eastAsia="仿宋" w:cs="仿宋"/>
          <w:color w:val="auto"/>
          <w:sz w:val="24"/>
          <w:szCs w:val="24"/>
          <w:highlight w:val="none"/>
          <w:vertAlign w:val="subscript"/>
          <w:lang w:bidi="ar"/>
        </w:rPr>
        <w:t>1</w:t>
      </w:r>
      <w:r>
        <w:rPr>
          <w:rFonts w:hint="eastAsia" w:ascii="仿宋" w:hAnsi="仿宋" w:eastAsia="仿宋" w:cs="仿宋"/>
          <w:color w:val="auto"/>
          <w:sz w:val="24"/>
          <w:szCs w:val="24"/>
          <w:highlight w:val="none"/>
          <w:lang w:bidi="ar"/>
        </w:rPr>
        <w:t>级5mm</w:t>
      </w:r>
      <w:r>
        <w:rPr>
          <w:rFonts w:hint="eastAsia" w:ascii="仿宋" w:hAnsi="仿宋" w:eastAsia="仿宋" w:cs="仿宋"/>
          <w:color w:val="auto"/>
          <w:sz w:val="24"/>
          <w:szCs w:val="24"/>
          <w:highlight w:val="none"/>
        </w:rPr>
        <w:t>密度板，基材密度不低于740kg/m³，表面为双饰面；</w:t>
      </w:r>
    </w:p>
    <w:p>
      <w:pP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3.2 颜色：建议白色或棕色，具体由甲方指定。</w:t>
      </w:r>
    </w:p>
    <w:p>
      <w:pP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4、铰链：集成阻尼铰链</w:t>
      </w:r>
    </w:p>
    <w:p>
      <w:pPr>
        <w:pStyle w:val="27"/>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5、吊码：双龙吊码</w:t>
      </w:r>
    </w:p>
    <w:p>
      <w:pP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6、拉手：明装拉手</w:t>
      </w:r>
    </w:p>
    <w:p>
      <w:pP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7、其他：柜门反弹器、封边带（带logo防伪）</w:t>
      </w:r>
    </w:p>
    <w:p>
      <w:pPr>
        <w:pStyle w:val="27"/>
        <w:rPr>
          <w:rFonts w:ascii="仿宋" w:hAnsi="仿宋" w:eastAsia="仿宋" w:cs="仿宋"/>
          <w:color w:val="auto"/>
          <w:sz w:val="24"/>
          <w:szCs w:val="24"/>
          <w:highlight w:val="none"/>
        </w:rPr>
      </w:pPr>
    </w:p>
    <w:p>
      <w:pPr>
        <w:spacing w:line="400" w:lineRule="exact"/>
        <w:ind w:firstLine="482" w:firstLineChars="200"/>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二、橱柜地柜</w:t>
      </w:r>
    </w:p>
    <w:p>
      <w:pPr>
        <w:pStyle w:val="27"/>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1、门板</w:t>
      </w:r>
    </w:p>
    <w:p>
      <w:pPr>
        <w:pStyle w:val="27"/>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1.1基材：</w:t>
      </w:r>
      <w:r>
        <w:rPr>
          <w:rFonts w:hint="eastAsia" w:ascii="仿宋" w:hAnsi="仿宋" w:eastAsia="仿宋" w:cs="仿宋"/>
          <w:color w:val="auto"/>
          <w:sz w:val="24"/>
          <w:szCs w:val="24"/>
          <w:highlight w:val="none"/>
          <w:lang w:bidi="ar"/>
        </w:rPr>
        <w:t>厚度E</w:t>
      </w:r>
      <w:r>
        <w:rPr>
          <w:rFonts w:hint="eastAsia" w:ascii="仿宋" w:hAnsi="仿宋" w:eastAsia="仿宋" w:cs="仿宋"/>
          <w:color w:val="auto"/>
          <w:sz w:val="24"/>
          <w:szCs w:val="24"/>
          <w:highlight w:val="none"/>
          <w:vertAlign w:val="subscript"/>
          <w:lang w:bidi="ar"/>
        </w:rPr>
        <w:t>1</w:t>
      </w:r>
      <w:r>
        <w:rPr>
          <w:rFonts w:hint="eastAsia" w:ascii="仿宋" w:hAnsi="仿宋" w:eastAsia="仿宋" w:cs="仿宋"/>
          <w:color w:val="auto"/>
          <w:sz w:val="24"/>
          <w:szCs w:val="24"/>
          <w:highlight w:val="none"/>
          <w:lang w:bidi="ar"/>
        </w:rPr>
        <w:t>级18mm</w:t>
      </w:r>
      <w:r>
        <w:rPr>
          <w:rFonts w:hint="eastAsia" w:ascii="仿宋" w:hAnsi="仿宋" w:eastAsia="仿宋" w:cs="仿宋"/>
          <w:color w:val="auto"/>
          <w:sz w:val="24"/>
          <w:szCs w:val="24"/>
          <w:highlight w:val="none"/>
        </w:rPr>
        <w:t>密度板，基材密度不低于740kg/m³，表面覆吸塑膜皮；</w:t>
      </w:r>
    </w:p>
    <w:p>
      <w:pPr>
        <w:pStyle w:val="27"/>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1.2颜色：具体由甲方指定；</w:t>
      </w:r>
    </w:p>
    <w:p>
      <w:pP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1.3其他基础配置要求：</w:t>
      </w:r>
    </w:p>
    <w:p>
      <w:pP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1.3.1门板材质及外观：普通吸塑工艺时PVC膜厚度≥0.35mm；纹理要求必须按纹理对齐。</w:t>
      </w:r>
    </w:p>
    <w:p>
      <w:pP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1.3.2耗材：粘结胶采用环保热熔胶。</w:t>
      </w:r>
    </w:p>
    <w:p>
      <w:pP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1.3.3基材及表面处理：PVC饰面中密度纤维板须符合LYT 1279-2008 《聚氯乙烯薄膜饰面人造板》的要求，外观质量达到优等品要求。PVC覆膜门板表面不得出现分层、鼓泡、鼓包、侧面皱折、干湿花、污斑、压痕等外观缺陷，铣花型门板凹槽吸塑到位、光滑顺畅，不允许有橘皮现象; 吸塑表面光洁平整，300mm*300mm正面允许有≤0.5mm*0.5mm的颗粒1～3个，小于0.3mm不计，正视不明显。</w:t>
      </w:r>
    </w:p>
    <w:p>
      <w:pP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2、柜体</w:t>
      </w:r>
    </w:p>
    <w:p>
      <w:pPr>
        <w:pStyle w:val="27"/>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2.1基材：</w:t>
      </w:r>
      <w:r>
        <w:rPr>
          <w:rFonts w:hint="eastAsia" w:ascii="仿宋" w:hAnsi="仿宋" w:eastAsia="仿宋" w:cs="仿宋"/>
          <w:color w:val="auto"/>
          <w:sz w:val="24"/>
          <w:szCs w:val="24"/>
          <w:highlight w:val="none"/>
          <w:lang w:bidi="ar"/>
        </w:rPr>
        <w:t>厚度E</w:t>
      </w:r>
      <w:r>
        <w:rPr>
          <w:rFonts w:hint="eastAsia" w:ascii="仿宋" w:hAnsi="仿宋" w:eastAsia="仿宋" w:cs="仿宋"/>
          <w:color w:val="auto"/>
          <w:sz w:val="24"/>
          <w:szCs w:val="24"/>
          <w:highlight w:val="none"/>
          <w:vertAlign w:val="subscript"/>
          <w:lang w:bidi="ar"/>
        </w:rPr>
        <w:t>1</w:t>
      </w:r>
      <w:r>
        <w:rPr>
          <w:rFonts w:hint="eastAsia" w:ascii="仿宋" w:hAnsi="仿宋" w:eastAsia="仿宋" w:cs="仿宋"/>
          <w:color w:val="auto"/>
          <w:sz w:val="24"/>
          <w:szCs w:val="24"/>
          <w:highlight w:val="none"/>
          <w:lang w:bidi="ar"/>
        </w:rPr>
        <w:t>级18mm</w:t>
      </w:r>
      <w:r>
        <w:rPr>
          <w:rFonts w:hint="eastAsia" w:ascii="仿宋" w:hAnsi="仿宋" w:eastAsia="仿宋" w:cs="仿宋"/>
          <w:color w:val="auto"/>
          <w:sz w:val="24"/>
          <w:szCs w:val="24"/>
          <w:highlight w:val="none"/>
        </w:rPr>
        <w:t>双饰面（实木颗粒板）、表面为三聚氰胺纸，用胶量低于5%；</w:t>
      </w:r>
    </w:p>
    <w:p>
      <w:pPr>
        <w:pStyle w:val="27"/>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2.2颜色：建议白色，具体由甲方指定。</w:t>
      </w:r>
    </w:p>
    <w:p>
      <w:pPr>
        <w:pStyle w:val="27"/>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3、背板</w:t>
      </w:r>
    </w:p>
    <w:p>
      <w:pPr>
        <w:pStyle w:val="27"/>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3.1基材：</w:t>
      </w:r>
      <w:r>
        <w:rPr>
          <w:rFonts w:hint="eastAsia" w:ascii="仿宋" w:hAnsi="仿宋" w:eastAsia="仿宋" w:cs="仿宋"/>
          <w:color w:val="auto"/>
          <w:sz w:val="24"/>
          <w:szCs w:val="24"/>
          <w:highlight w:val="none"/>
          <w:lang w:bidi="ar"/>
        </w:rPr>
        <w:t>厚度5mm</w:t>
      </w:r>
      <w:r>
        <w:rPr>
          <w:rFonts w:hint="eastAsia" w:ascii="仿宋" w:hAnsi="仿宋" w:eastAsia="仿宋" w:cs="仿宋"/>
          <w:color w:val="auto"/>
          <w:sz w:val="24"/>
          <w:szCs w:val="24"/>
          <w:highlight w:val="none"/>
        </w:rPr>
        <w:t>密度板，基材密度不低于740kg/m³，表面为双饰面；</w:t>
      </w:r>
    </w:p>
    <w:p>
      <w:pP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3.2颜色：建议白色，具体由甲方指定。</w:t>
      </w:r>
    </w:p>
    <w:p>
      <w:pPr>
        <w:pStyle w:val="27"/>
        <w:jc w:val="left"/>
        <w:rPr>
          <w:rFonts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rPr>
        <w:t>4、铰链：</w:t>
      </w:r>
      <w:r>
        <w:rPr>
          <w:rFonts w:hint="eastAsia" w:ascii="仿宋" w:hAnsi="仿宋" w:eastAsia="仿宋" w:cs="仿宋"/>
          <w:color w:val="auto"/>
          <w:sz w:val="24"/>
          <w:szCs w:val="24"/>
          <w:highlight w:val="none"/>
          <w:lang w:bidi="ar"/>
        </w:rPr>
        <w:t>集成阻尼铰链</w:t>
      </w:r>
    </w:p>
    <w:p>
      <w:pPr>
        <w:rPr>
          <w:rFonts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5、</w:t>
      </w:r>
      <w:r>
        <w:rPr>
          <w:rFonts w:hint="eastAsia" w:ascii="仿宋" w:hAnsi="仿宋" w:eastAsia="仿宋" w:cs="仿宋"/>
          <w:color w:val="auto"/>
          <w:sz w:val="24"/>
          <w:szCs w:val="24"/>
          <w:highlight w:val="none"/>
        </w:rPr>
        <w:t>地脚：</w:t>
      </w:r>
      <w:r>
        <w:rPr>
          <w:rFonts w:hint="eastAsia" w:ascii="仿宋" w:hAnsi="仿宋" w:eastAsia="仿宋" w:cs="仿宋"/>
          <w:color w:val="auto"/>
          <w:sz w:val="24"/>
          <w:szCs w:val="24"/>
          <w:highlight w:val="none"/>
          <w:lang w:bidi="ar"/>
        </w:rPr>
        <w:t>100mmABS调整脚</w:t>
      </w:r>
    </w:p>
    <w:p>
      <w:pPr>
        <w:pStyle w:val="27"/>
        <w:jc w:val="left"/>
        <w:rPr>
          <w:rFonts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6、</w:t>
      </w:r>
      <w:r>
        <w:rPr>
          <w:rFonts w:hint="eastAsia" w:ascii="仿宋" w:hAnsi="仿宋" w:eastAsia="仿宋" w:cs="仿宋"/>
          <w:color w:val="auto"/>
          <w:sz w:val="24"/>
          <w:szCs w:val="24"/>
          <w:highlight w:val="none"/>
        </w:rPr>
        <w:t>踢脚板：</w:t>
      </w:r>
      <w:r>
        <w:rPr>
          <w:rFonts w:hint="eastAsia" w:ascii="仿宋" w:hAnsi="仿宋" w:eastAsia="仿宋" w:cs="仿宋"/>
          <w:color w:val="auto"/>
          <w:sz w:val="24"/>
          <w:szCs w:val="24"/>
          <w:highlight w:val="none"/>
          <w:lang w:bidi="ar"/>
        </w:rPr>
        <w:t>PVC踢脚板</w:t>
      </w:r>
    </w:p>
    <w:p>
      <w:pPr>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lang w:bidi="ar"/>
        </w:rPr>
        <w:t>7、</w:t>
      </w:r>
      <w:r>
        <w:rPr>
          <w:rFonts w:hint="eastAsia" w:ascii="仿宋" w:hAnsi="仿宋" w:eastAsia="仿宋" w:cs="仿宋"/>
          <w:color w:val="auto"/>
          <w:sz w:val="24"/>
          <w:szCs w:val="24"/>
          <w:highlight w:val="none"/>
        </w:rPr>
        <w:t>拉手：明装拉手</w:t>
      </w:r>
    </w:p>
    <w:p>
      <w:pPr>
        <w:pStyle w:val="27"/>
        <w:jc w:val="left"/>
        <w:rPr>
          <w:rFonts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8、</w:t>
      </w:r>
      <w:r>
        <w:rPr>
          <w:rFonts w:hint="eastAsia" w:ascii="仿宋" w:hAnsi="仿宋" w:eastAsia="仿宋" w:cs="仿宋"/>
          <w:color w:val="auto"/>
          <w:sz w:val="24"/>
          <w:szCs w:val="24"/>
          <w:highlight w:val="none"/>
        </w:rPr>
        <w:t>其他：地脚调整脚、PVC踢脚板、封边带（带logo防伪）</w:t>
      </w:r>
    </w:p>
    <w:p>
      <w:pPr>
        <w:jc w:val="left"/>
        <w:rPr>
          <w:rFonts w:ascii="仿宋" w:hAnsi="仿宋" w:eastAsia="仿宋" w:cs="仿宋"/>
          <w:color w:val="auto"/>
          <w:sz w:val="24"/>
          <w:szCs w:val="24"/>
          <w:highlight w:val="none"/>
        </w:rPr>
      </w:pPr>
    </w:p>
    <w:p>
      <w:pPr>
        <w:pStyle w:val="27"/>
        <w:jc w:val="left"/>
        <w:rPr>
          <w:rFonts w:ascii="仿宋" w:hAnsi="仿宋" w:eastAsia="仿宋" w:cs="仿宋"/>
          <w:color w:val="auto"/>
          <w:sz w:val="24"/>
          <w:szCs w:val="24"/>
          <w:highlight w:val="none"/>
        </w:rPr>
      </w:pPr>
    </w:p>
    <w:p>
      <w:pPr>
        <w:jc w:val="left"/>
        <w:rPr>
          <w:rFonts w:ascii="仿宋" w:hAnsi="仿宋" w:eastAsia="仿宋" w:cs="仿宋"/>
          <w:b/>
          <w:color w:val="auto"/>
          <w:sz w:val="24"/>
          <w:szCs w:val="24"/>
          <w:highlight w:val="none"/>
        </w:rPr>
      </w:pPr>
    </w:p>
    <w:p>
      <w:pPr>
        <w:spacing w:line="400" w:lineRule="exact"/>
        <w:ind w:firstLine="482" w:firstLineChars="200"/>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三、橱柜台面</w:t>
      </w:r>
    </w:p>
    <w:p>
      <w:pPr>
        <w:pStyle w:val="27"/>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1、台面使用材料：石英石，厚度≥15mm，边缘≥35mm</w:t>
      </w:r>
    </w:p>
    <w:p>
      <w:pPr>
        <w:rPr>
          <w:rFonts w:ascii="仿宋" w:hAnsi="仿宋" w:eastAsia="仿宋" w:cs="仿宋"/>
          <w:color w:val="auto"/>
          <w:sz w:val="24"/>
          <w:szCs w:val="24"/>
          <w:highlight w:val="none"/>
          <w:vertAlign w:val="superscript"/>
        </w:rPr>
      </w:pPr>
      <w:r>
        <w:rPr>
          <w:rFonts w:hint="eastAsia" w:ascii="仿宋" w:hAnsi="仿宋" w:eastAsia="仿宋" w:cs="仿宋"/>
          <w:color w:val="auto"/>
          <w:sz w:val="24"/>
          <w:szCs w:val="24"/>
          <w:highlight w:val="none"/>
        </w:rPr>
        <w:t>2、体积密度：体积密度≥2.3g/cm</w:t>
      </w:r>
      <w:r>
        <w:rPr>
          <w:rFonts w:ascii="仿宋" w:hAnsi="仿宋" w:eastAsia="仿宋" w:cs="仿宋"/>
          <w:color w:val="auto"/>
          <w:sz w:val="24"/>
          <w:szCs w:val="24"/>
          <w:highlight w:val="none"/>
          <w:vertAlign w:val="superscript"/>
        </w:rPr>
        <w:t>2</w:t>
      </w:r>
    </w:p>
    <w:p>
      <w:pP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3、硬度：莫氏硬度≥6</w:t>
      </w:r>
    </w:p>
    <w:p>
      <w:pP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4、吸水率：吸水率≤0.2%</w:t>
      </w:r>
    </w:p>
    <w:p>
      <w:pP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5、放射性：放射性满足内照射指数Ira≤1.0，外照射指数Ir≤1.3</w:t>
      </w:r>
    </w:p>
    <w:p>
      <w:pP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6、耐磨性：磨损度＜7×10</w:t>
      </w:r>
      <w:r>
        <w:rPr>
          <w:rFonts w:ascii="仿宋" w:hAnsi="仿宋" w:eastAsia="仿宋" w:cs="仿宋"/>
          <w:color w:val="auto"/>
          <w:sz w:val="24"/>
          <w:szCs w:val="24"/>
          <w:highlight w:val="none"/>
          <w:vertAlign w:val="superscript"/>
        </w:rPr>
        <w:t>-7</w:t>
      </w:r>
      <w:r>
        <w:rPr>
          <w:rFonts w:hint="eastAsia" w:ascii="仿宋" w:hAnsi="仿宋" w:eastAsia="仿宋" w:cs="仿宋"/>
          <w:color w:val="auto"/>
          <w:sz w:val="24"/>
          <w:szCs w:val="24"/>
          <w:highlight w:val="none"/>
        </w:rPr>
        <w:t>g/cm</w:t>
      </w:r>
      <w:r>
        <w:rPr>
          <w:rFonts w:hint="eastAsia" w:ascii="仿宋" w:hAnsi="仿宋" w:eastAsia="仿宋" w:cs="仿宋"/>
          <w:color w:val="auto"/>
          <w:sz w:val="24"/>
          <w:szCs w:val="24"/>
          <w:highlight w:val="none"/>
          <w:vertAlign w:val="superscript"/>
        </w:rPr>
        <w:t>2</w:t>
      </w:r>
    </w:p>
    <w:p>
      <w:pP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7、抗压强度：试样干态抗压强度≥90MPa</w:t>
      </w:r>
    </w:p>
    <w:p>
      <w:pP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8、弯曲强度：试样干态弯曲强度≥40Mpa</w:t>
      </w:r>
    </w:p>
    <w:p>
      <w:pP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9、弹性模量：试样干态弹性模量≥3500Mpa</w:t>
      </w:r>
    </w:p>
    <w:p>
      <w:pP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10、耐冲击力：试验后，表面无开裂和碎片</w:t>
      </w:r>
    </w:p>
    <w:p>
      <w:pP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11、耐污染性：试样耐污值总和不得超过40</w:t>
      </w:r>
    </w:p>
    <w:p>
      <w:pP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12、耐化学药品性：试样表面无明显损失，轻度损失用600目砂纸轻擦即可除去，损失程度应不影响板材的使用性，并易恢复至原状</w:t>
      </w:r>
    </w:p>
    <w:p>
      <w:pP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13、耐加热性：试样表面应无破裂、裂缝或起泡。任何变色采用研磨剂或抛光剂可除去并接近板材原状，并不影响板材的使用</w:t>
      </w:r>
    </w:p>
    <w:p>
      <w:pP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14、耐高温性：试样表面应无破裂、裂缝或鼓泡等显著影响。表面缺陷易打磨恢复至原状，并不影响板材的使用</w:t>
      </w:r>
    </w:p>
    <w:p>
      <w:pP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15、耐水性：试样表面应无破裂、裂缝、鼓泡隆隆作响、敲击声变哑或分层</w:t>
      </w:r>
    </w:p>
    <w:p>
      <w:pP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16、阻燃性能：板材阻燃性能以氧指数表示，即板材氧指数≥35</w:t>
      </w:r>
    </w:p>
    <w:p>
      <w:pP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17、厚度：15mm±0.5mm</w:t>
      </w:r>
    </w:p>
    <w:p>
      <w:pP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18、光泽度：≥48</w:t>
      </w:r>
    </w:p>
    <w:p>
      <w:pP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19、颜色：建议为白色，具体由甲方指定</w:t>
      </w:r>
    </w:p>
    <w:p>
      <w:pPr>
        <w:pStyle w:val="27"/>
        <w:rPr>
          <w:rFonts w:ascii="仿宋" w:hAnsi="仿宋" w:eastAsia="仿宋" w:cs="仿宋"/>
          <w:color w:val="auto"/>
          <w:sz w:val="24"/>
          <w:szCs w:val="24"/>
          <w:highlight w:val="none"/>
        </w:rPr>
      </w:pPr>
    </w:p>
    <w:p>
      <w:pPr>
        <w:pStyle w:val="27"/>
        <w:jc w:val="left"/>
        <w:rPr>
          <w:rFonts w:ascii="仿宋" w:hAnsi="仿宋" w:eastAsia="仿宋" w:cs="仿宋"/>
          <w:color w:val="auto"/>
          <w:sz w:val="24"/>
          <w:szCs w:val="24"/>
          <w:highlight w:val="none"/>
        </w:rPr>
      </w:pPr>
    </w:p>
    <w:p>
      <w:pPr>
        <w:spacing w:line="400" w:lineRule="exact"/>
        <w:ind w:firstLine="482" w:firstLineChars="200"/>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四、油烟机（52台）</w:t>
      </w:r>
    </w:p>
    <w:p>
      <w:pPr>
        <w:pStyle w:val="27"/>
        <w:rPr>
          <w:rFonts w:ascii="仿宋" w:hAnsi="仿宋" w:eastAsia="仿宋" w:cs="仿宋"/>
          <w:color w:val="auto"/>
          <w:sz w:val="24"/>
          <w:szCs w:val="24"/>
          <w:highlight w:val="none"/>
        </w:rPr>
      </w:pPr>
    </w:p>
    <w:p>
      <w:pPr>
        <w:pStyle w:val="27"/>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1、尺寸：约 长900 mm *宽460 mm *高650 mm</w:t>
      </w:r>
    </w:p>
    <w:p>
      <w:pPr>
        <w:pStyle w:val="27"/>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2、排风量：≥18m³/min  爆炒20m³/min</w:t>
      </w:r>
    </w:p>
    <w:p>
      <w:pPr>
        <w:pStyle w:val="27"/>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3、能效等级：一级</w:t>
      </w:r>
    </w:p>
    <w:p>
      <w:pPr>
        <w:pStyle w:val="27"/>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4、最大静压：≥410Pa</w:t>
      </w:r>
    </w:p>
    <w:p>
      <w:pPr>
        <w:pStyle w:val="27"/>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5、噪音：≤70dB(A)</w:t>
      </w:r>
    </w:p>
    <w:p>
      <w:pPr>
        <w:pStyle w:val="27"/>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6、玻璃：钢化玻璃黑色</w:t>
      </w:r>
    </w:p>
    <w:p>
      <w:pPr>
        <w:pStyle w:val="27"/>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7、电机：全塑封电机</w:t>
      </w:r>
    </w:p>
    <w:p>
      <w:pPr>
        <w:pStyle w:val="27"/>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8、围板：冷板哑光黑</w:t>
      </w:r>
    </w:p>
    <w:p>
      <w:pPr>
        <w:pStyle w:val="27"/>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9、油杯：冷板哑光黑</w:t>
      </w:r>
    </w:p>
    <w:p>
      <w:pPr>
        <w:pStyle w:val="27"/>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10、集烟罩：冷板≥0.6mm厚度，哑光黑</w:t>
      </w:r>
    </w:p>
    <w:p>
      <w:pPr>
        <w:pStyle w:val="27"/>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11、开关板：五位触摸，外移体感，两速+爆炒，带热洗</w:t>
      </w:r>
    </w:p>
    <w:p>
      <w:pPr>
        <w:pStyle w:val="27"/>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12、LED灯：椭圆形灯/12VDC   3W×1</w:t>
      </w:r>
    </w:p>
    <w:p>
      <w:pPr>
        <w:pStyle w:val="27"/>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13、电源线：≥1.5 m平头插带端子</w:t>
      </w:r>
    </w:p>
    <w:p>
      <w:pP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14、主要功能：触摸控制、延时功能、爆炒、倒锥网、热洗、挥手体感调档</w:t>
      </w:r>
    </w:p>
    <w:p>
      <w:pPr>
        <w:pStyle w:val="27"/>
        <w:rPr>
          <w:rFonts w:ascii="仿宋" w:hAnsi="仿宋" w:eastAsia="仿宋" w:cs="仿宋"/>
          <w:color w:val="auto"/>
          <w:sz w:val="24"/>
          <w:szCs w:val="24"/>
          <w:highlight w:val="none"/>
        </w:rPr>
      </w:pPr>
    </w:p>
    <w:p>
      <w:pPr>
        <w:pStyle w:val="27"/>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五、电磁炉</w:t>
      </w:r>
      <w:r>
        <w:rPr>
          <w:rFonts w:hint="eastAsia" w:ascii="仿宋" w:hAnsi="仿宋" w:eastAsia="仿宋" w:cs="仿宋"/>
          <w:b/>
          <w:color w:val="auto"/>
          <w:sz w:val="24"/>
          <w:szCs w:val="24"/>
          <w:highlight w:val="none"/>
        </w:rPr>
        <w:t>（52台）</w:t>
      </w:r>
    </w:p>
    <w:p>
      <w:pPr>
        <w:pStyle w:val="27"/>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1、功率：约3500W（磁悬灶约2500W、电陶炉约2000W）</w:t>
      </w:r>
    </w:p>
    <w:p>
      <w:pPr>
        <w:pStyle w:val="27"/>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2、面板：约 长780 mm、宽430 mm *厚8mm； </w:t>
      </w:r>
    </w:p>
    <w:p>
      <w:pPr>
        <w:pStyle w:val="27"/>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3、嵌入安装开孔尺寸：长650 mm *350 mm                                                   4、配置：左边凹灶电磁加热\右边电陶加热</w:t>
      </w:r>
    </w:p>
    <w:p>
      <w:pPr>
        <w:pStyle w:val="27"/>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5、电磁：DR-03A-2500W 带EMC；</w:t>
      </w:r>
    </w:p>
    <w:p>
      <w:pPr>
        <w:pStyle w:val="27"/>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6、电陶：DR-DTL-1 符合安规要求功能：</w:t>
      </w:r>
    </w:p>
    <w:p>
      <w:pPr>
        <w:pStyle w:val="27"/>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7、滤波板：DR-SL-LB滤波板</w:t>
      </w:r>
    </w:p>
    <w:p>
      <w:pPr>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8、发热盘：凹面双层铝盘</w:t>
      </w:r>
    </w:p>
    <w:p>
      <w:pPr>
        <w:pStyle w:val="27"/>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9、电陶盘：双环加热</w:t>
      </w:r>
    </w:p>
    <w:p>
      <w:pP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10、电源线：16A大三插头，带过EMC磁环</w:t>
      </w:r>
    </w:p>
    <w:p>
      <w:pPr>
        <w:pStyle w:val="27"/>
        <w:rPr>
          <w:rFonts w:ascii="仿宋" w:hAnsi="仿宋" w:eastAsia="仿宋" w:cs="仿宋"/>
          <w:color w:val="auto"/>
          <w:sz w:val="24"/>
          <w:szCs w:val="24"/>
          <w:highlight w:val="none"/>
        </w:rPr>
      </w:pPr>
    </w:p>
    <w:p>
      <w:pPr>
        <w:rPr>
          <w:rFonts w:ascii="仿宋" w:hAnsi="仿宋" w:eastAsia="仿宋" w:cs="仿宋"/>
          <w:color w:val="auto"/>
          <w:sz w:val="24"/>
          <w:szCs w:val="24"/>
          <w:highlight w:val="none"/>
        </w:rPr>
      </w:pPr>
    </w:p>
    <w:p>
      <w:pPr>
        <w:pStyle w:val="27"/>
        <w:rPr>
          <w:rFonts w:ascii="仿宋" w:hAnsi="仿宋" w:eastAsia="仿宋" w:cs="仿宋"/>
          <w:color w:val="auto"/>
          <w:sz w:val="24"/>
          <w:szCs w:val="24"/>
          <w:highlight w:val="none"/>
        </w:rPr>
      </w:pPr>
    </w:p>
    <w:p>
      <w:pPr>
        <w:jc w:val="left"/>
        <w:rPr>
          <w:rFonts w:ascii="仿宋" w:hAnsi="仿宋" w:eastAsia="仿宋" w:cs="仿宋"/>
          <w:color w:val="auto"/>
          <w:sz w:val="24"/>
          <w:szCs w:val="24"/>
          <w:highlight w:val="none"/>
        </w:rPr>
      </w:pPr>
    </w:p>
    <w:p>
      <w:pPr>
        <w:spacing w:line="400" w:lineRule="exact"/>
        <w:ind w:firstLine="482" w:firstLineChars="200"/>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六、五金件技术要求</w:t>
      </w:r>
    </w:p>
    <w:p>
      <w:pPr>
        <w:spacing w:line="360" w:lineRule="auto"/>
        <w:ind w:left="425"/>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1、铰链-吊地柜门板与柜体连接处，开启门板功能五金</w:t>
      </w:r>
    </w:p>
    <w:p>
      <w:pPr>
        <w:tabs>
          <w:tab w:val="left" w:pos="420"/>
        </w:tabs>
        <w:spacing w:line="360" w:lineRule="auto"/>
        <w:ind w:left="788"/>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1.1 使用性:开闭试验时，铰链无卡死或出现摩擦声；</w:t>
      </w:r>
    </w:p>
    <w:p>
      <w:pPr>
        <w:tabs>
          <w:tab w:val="left" w:pos="420"/>
        </w:tabs>
        <w:spacing w:line="360" w:lineRule="auto"/>
        <w:ind w:left="788"/>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1.2 可调性:前后、左右、上下可调范围士2mm；</w:t>
      </w:r>
    </w:p>
    <w:p>
      <w:pPr>
        <w:tabs>
          <w:tab w:val="left" w:pos="840"/>
        </w:tabs>
        <w:spacing w:line="360" w:lineRule="auto"/>
        <w:ind w:left="84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1.3打开角度：开启角度95°~110°。其中小于15°自闭，15°～110°之间任意定位（单段力铰链除外，如：插尾铰链）</w:t>
      </w:r>
    </w:p>
    <w:p>
      <w:pPr>
        <w:tabs>
          <w:tab w:val="left" w:pos="420"/>
        </w:tabs>
        <w:spacing w:line="360" w:lineRule="auto"/>
        <w:ind w:left="788"/>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1.4耐腐蚀:经48h 中性盐雾试验.腐蚀等级不低于QB/T 3832的9级标准；</w:t>
      </w:r>
    </w:p>
    <w:p>
      <w:pPr>
        <w:tabs>
          <w:tab w:val="left" w:pos="840"/>
        </w:tabs>
        <w:spacing w:line="360" w:lineRule="auto"/>
        <w:ind w:left="84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1.5开关次数：普通快装铰链5万次，阻尼铰链5万次（0-40摄氏度正常使用），需有铰链5万次开合试验报告</w:t>
      </w:r>
    </w:p>
    <w:p>
      <w:pPr>
        <w:tabs>
          <w:tab w:val="left" w:pos="840"/>
        </w:tabs>
        <w:spacing w:line="360" w:lineRule="auto"/>
        <w:ind w:left="84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1.6安全性:铰链上螺丝即使被调整至极限位置也不会脱落，即门板在调节过程中不会跌落；</w:t>
      </w:r>
    </w:p>
    <w:p>
      <w:pPr>
        <w:spacing w:line="360" w:lineRule="auto"/>
        <w:ind w:left="425"/>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2、拉手-吊地柜门板拉手</w:t>
      </w:r>
    </w:p>
    <w:p>
      <w:pPr>
        <w:tabs>
          <w:tab w:val="left" w:pos="840"/>
        </w:tabs>
        <w:spacing w:line="360" w:lineRule="auto"/>
        <w:ind w:left="84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2.1金属表面无锈蚀，涂镀层无涂镀缺陷，无毛刺锐棱;</w:t>
      </w:r>
    </w:p>
    <w:p>
      <w:pPr>
        <w:tabs>
          <w:tab w:val="left" w:pos="840"/>
        </w:tabs>
        <w:spacing w:line="360" w:lineRule="auto"/>
        <w:ind w:left="84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2.2塑料、玻璃、实木等拉手螺孔处应有金属预埋件，GB/T 18884.2-2002；</w:t>
      </w:r>
    </w:p>
    <w:p>
      <w:pPr>
        <w:tabs>
          <w:tab w:val="left" w:pos="840"/>
        </w:tabs>
        <w:spacing w:line="360" w:lineRule="auto"/>
        <w:ind w:left="84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2.3拉手安装孔距应为32mm的整数倍；</w:t>
      </w:r>
    </w:p>
    <w:p>
      <w:pPr>
        <w:spacing w:line="360" w:lineRule="auto"/>
        <w:ind w:left="425"/>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3、吊码-吊柜与墙面连接五金</w:t>
      </w:r>
    </w:p>
    <w:p>
      <w:pPr>
        <w:tabs>
          <w:tab w:val="left" w:pos="840"/>
        </w:tabs>
        <w:spacing w:line="360" w:lineRule="auto"/>
        <w:ind w:left="84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3.1承重:每个明装吊码应能承受25kg的垂直吊挂力；暗装吊码应能承受50KG的垂直吊挂力; 加强吊码应能承受100KG的垂直吊挂力。</w:t>
      </w:r>
    </w:p>
    <w:p>
      <w:pPr>
        <w:tabs>
          <w:tab w:val="left" w:pos="840"/>
        </w:tabs>
        <w:spacing w:line="360" w:lineRule="auto"/>
        <w:ind w:left="84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3.2调节:吊码应具有三维调节功能；</w:t>
      </w:r>
    </w:p>
    <w:p>
      <w:pPr>
        <w:tabs>
          <w:tab w:val="left" w:pos="840"/>
        </w:tabs>
        <w:spacing w:line="360" w:lineRule="auto"/>
        <w:ind w:left="84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3.3塑料盖颜色：吊码塑料盖应为同柜体板的白色，安装牢固：</w:t>
      </w:r>
    </w:p>
    <w:p>
      <w:pPr>
        <w:tabs>
          <w:tab w:val="left" w:pos="840"/>
        </w:tabs>
        <w:spacing w:line="360" w:lineRule="auto"/>
        <w:ind w:left="84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3.4其他：吊码上的塑料件应是阻燃的，无裂纹和斑痕；</w:t>
      </w:r>
    </w:p>
    <w:p>
      <w:pPr>
        <w:spacing w:line="360" w:lineRule="auto"/>
        <w:ind w:left="425"/>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4、连接件-板材组装连接件</w:t>
      </w:r>
    </w:p>
    <w:p>
      <w:pPr>
        <w:tabs>
          <w:tab w:val="left" w:pos="840"/>
        </w:tabs>
        <w:spacing w:line="360" w:lineRule="auto"/>
        <w:ind w:left="84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4.1组装连接件、柜体连接件采用不锈钢件，表面应平整、光滑，无毛刺锐棱，螺纹表面不允许有凹痕、断牙等缺陷。</w:t>
      </w:r>
    </w:p>
    <w:p>
      <w:pPr>
        <w:spacing w:line="360" w:lineRule="auto"/>
        <w:ind w:left="425"/>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5、调整脚-地柜支撑腿</w:t>
      </w:r>
    </w:p>
    <w:p>
      <w:pPr>
        <w:tabs>
          <w:tab w:val="left" w:pos="840"/>
        </w:tabs>
        <w:spacing w:line="360" w:lineRule="auto"/>
        <w:ind w:left="84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5.1每个调整脚应能承受不小于50Kg的能力，调整脚应有±15mm的调节范围；</w:t>
      </w:r>
    </w:p>
    <w:p>
      <w:pPr>
        <w:tabs>
          <w:tab w:val="left" w:pos="840"/>
        </w:tabs>
        <w:spacing w:line="360" w:lineRule="auto"/>
        <w:ind w:left="84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5.2表面不得有凹痕、断牙等缺陷，塑料表面不应有溢料、缩痕、溶接痕等缺陷。</w:t>
      </w:r>
    </w:p>
    <w:p>
      <w:pPr>
        <w:pStyle w:val="27"/>
        <w:rPr>
          <w:rFonts w:ascii="仿宋" w:hAnsi="仿宋" w:eastAsia="仿宋" w:cs="仿宋"/>
          <w:color w:val="auto"/>
          <w:sz w:val="24"/>
          <w:szCs w:val="24"/>
          <w:highlight w:val="none"/>
        </w:rPr>
      </w:pPr>
    </w:p>
    <w:p>
      <w:pPr>
        <w:pStyle w:val="27"/>
        <w:ind w:firstLine="482" w:firstLineChars="200"/>
        <w:jc w:val="left"/>
        <w:rPr>
          <w:rFonts w:ascii="仿宋" w:hAnsi="仿宋" w:eastAsia="仿宋" w:cs="仿宋"/>
          <w:b/>
          <w:bCs/>
          <w:i/>
          <w:iCs/>
          <w:color w:val="auto"/>
          <w:sz w:val="24"/>
          <w:szCs w:val="24"/>
          <w:highlight w:val="none"/>
        </w:rPr>
      </w:pPr>
      <w:r>
        <w:rPr>
          <w:rFonts w:hint="eastAsia" w:ascii="仿宋" w:hAnsi="仿宋" w:eastAsia="仿宋" w:cs="仿宋"/>
          <w:b/>
          <w:color w:val="auto"/>
          <w:sz w:val="24"/>
          <w:szCs w:val="24"/>
          <w:highlight w:val="none"/>
        </w:rPr>
        <w:t>七、加工及安装要求</w:t>
      </w:r>
    </w:p>
    <w:p>
      <w:pPr>
        <w:tabs>
          <w:tab w:val="left" w:pos="840"/>
        </w:tabs>
        <w:spacing w:line="360" w:lineRule="auto"/>
        <w:ind w:left="84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1、胶粒：所有胶粒打齐，与板件要平整。</w:t>
      </w:r>
    </w:p>
    <w:p>
      <w:pPr>
        <w:tabs>
          <w:tab w:val="left" w:pos="840"/>
        </w:tabs>
        <w:spacing w:line="360" w:lineRule="auto"/>
        <w:ind w:left="84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2、抽屉：抽屉闭合后，与柜体的缝隙大小一致，抽屉面板在一条垂直直线上。</w:t>
      </w:r>
    </w:p>
    <w:p>
      <w:pPr>
        <w:tabs>
          <w:tab w:val="left" w:pos="840"/>
        </w:tabs>
        <w:spacing w:line="360" w:lineRule="auto"/>
        <w:ind w:left="84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3、轨道/门铰：卫生清洁，推拉或开关自如、灵活，安装牢固。</w:t>
      </w:r>
    </w:p>
    <w:p>
      <w:pPr>
        <w:tabs>
          <w:tab w:val="left" w:pos="840"/>
        </w:tabs>
        <w:spacing w:line="360" w:lineRule="auto"/>
        <w:ind w:left="84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4、拉手：拉手安装水平，垂直，误差≤1mm。孔位不能裸露，拉手无划伤，安装牢固。</w:t>
      </w:r>
    </w:p>
    <w:p>
      <w:pPr>
        <w:tabs>
          <w:tab w:val="left" w:pos="840"/>
        </w:tabs>
        <w:spacing w:line="360" w:lineRule="auto"/>
        <w:ind w:left="84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5、门板：门板安装水平、垂直，缝隙一致，闭合后与抽屉面板保持在同一水平面。</w:t>
      </w:r>
    </w:p>
    <w:p>
      <w:pPr>
        <w:tabs>
          <w:tab w:val="left" w:pos="840"/>
        </w:tabs>
        <w:spacing w:line="360" w:lineRule="auto"/>
        <w:ind w:left="84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6、柜体：柜体裁口应顺直、拼缝应严密、平齐，拼接处误差≤1mm。</w:t>
      </w:r>
    </w:p>
    <w:p>
      <w:pPr>
        <w:tabs>
          <w:tab w:val="left" w:pos="840"/>
        </w:tabs>
        <w:spacing w:line="360" w:lineRule="auto"/>
        <w:ind w:left="84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7、石英石台面：台面洁净、平整、无翘曲，无污染，四边打磨光滑，无缺口，安装前需检查橱柜的平整度，检查石英石台面与橱柜是否完全匹配。统一台面颜色避免出现色差，前、后挡水反檐需弧度平滑尽量避免直角上翻造成清理死角问题。</w:t>
      </w:r>
    </w:p>
    <w:p>
      <w:pPr>
        <w:tabs>
          <w:tab w:val="left" w:pos="840"/>
        </w:tabs>
        <w:spacing w:line="360" w:lineRule="auto"/>
        <w:ind w:left="84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8、水槽柜</w:t>
      </w:r>
    </w:p>
    <w:p>
      <w:pPr>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8.1水槽安装应该牢固，在水槽底部中央加50Kg的重物，加载时间1小时，检查水槽与台面连接处，不得有拉裂的痕迹，水槽盆底距柜底的距离在加载重物前后变化不应超过3mm。</w:t>
      </w:r>
    </w:p>
    <w:p>
      <w:pPr>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8.2水槽台上安装，人造石台面开孔转弯处应成圆角，不允许直角转弯或切割过度的情况出现，衬板应能有效支撑，对于台上盆，衬板开口边缘距台面开口边缘距离不得大于20mm，对于台下盆，衬板开口边缘距台面开口边缘距离不得大于50mm。</w:t>
      </w:r>
    </w:p>
    <w:p>
      <w:pPr>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8.3水槽柜、浴室柜背板取消，墙面贴瓷砖，避免背板受潮、便于日后维修，水槽柜底板覆盖防水铝箔。</w:t>
      </w:r>
    </w:p>
    <w:p>
      <w:pPr>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8.4如水槽采用台下安装，内边需倒角。水槽与台面连接方式如图：</w:t>
      </w:r>
    </w:p>
    <w:p>
      <w:pPr>
        <w:pStyle w:val="179"/>
        <w:ind w:firstLine="24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drawing>
          <wp:inline distT="0" distB="0" distL="114300" distR="114300">
            <wp:extent cx="2926715" cy="1525270"/>
            <wp:effectExtent l="0" t="0" r="6985" b="17780"/>
            <wp:docPr id="43" name="图片 7" descr="台底盆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7" descr="台底盆1"/>
                    <pic:cNvPicPr>
                      <a:picLocks noChangeAspect="1"/>
                    </pic:cNvPicPr>
                  </pic:nvPicPr>
                  <pic:blipFill>
                    <a:blip r:embed="rId9"/>
                    <a:stretch>
                      <a:fillRect/>
                    </a:stretch>
                  </pic:blipFill>
                  <pic:spPr>
                    <a:xfrm>
                      <a:off x="0" y="0"/>
                      <a:ext cx="2959141" cy="1542416"/>
                    </a:xfrm>
                    <a:prstGeom prst="rect">
                      <a:avLst/>
                    </a:prstGeom>
                    <a:noFill/>
                    <a:ln>
                      <a:noFill/>
                    </a:ln>
                  </pic:spPr>
                </pic:pic>
              </a:graphicData>
            </a:graphic>
          </wp:inline>
        </w:drawing>
      </w:r>
    </w:p>
    <w:p>
      <w:pPr>
        <w:tabs>
          <w:tab w:val="left" w:pos="840"/>
        </w:tabs>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9、灶台柜：灶台柜部分人造石台面开孔转弯处应承圆角，不允许直角转弯或切割过度的情况出现，内边需倒角。炉灶柜门必须注意有通风设计，防止煤气泄漏在柜体内积聚，通风设计供方需提供工艺说明与图纸。</w:t>
      </w:r>
    </w:p>
    <w:p>
      <w:pPr>
        <w:tabs>
          <w:tab w:val="left" w:pos="840"/>
        </w:tabs>
        <w:spacing w:line="360" w:lineRule="auto"/>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10、踢脚板：踢脚板上有连接件安装卡位，使用连接件可以固定在调节角上，同时可以方便取下，转弯处使用专用的内、外角码连接。踢脚板应具有足够硬度与韧性</w:t>
      </w:r>
    </w:p>
    <w:p>
      <w:pPr>
        <w:rPr>
          <w:rFonts w:ascii="仿宋" w:hAnsi="仿宋" w:eastAsia="仿宋" w:cs="仿宋"/>
          <w:color w:val="auto"/>
          <w:sz w:val="24"/>
          <w:szCs w:val="24"/>
          <w:highlight w:val="none"/>
        </w:rPr>
      </w:pPr>
    </w:p>
    <w:tbl>
      <w:tblPr>
        <w:tblStyle w:val="3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4"/>
        <w:gridCol w:w="3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2" w:hRule="atLeast"/>
          <w:jc w:val="center"/>
        </w:trPr>
        <w:tc>
          <w:tcPr>
            <w:tcW w:w="4654" w:type="dxa"/>
          </w:tcPr>
          <w:p>
            <w:pPr>
              <w:spacing w:line="360" w:lineRule="auto"/>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drawing>
                <wp:inline distT="0" distB="0" distL="114300" distR="114300">
                  <wp:extent cx="2190750" cy="1619250"/>
                  <wp:effectExtent l="0" t="0" r="0" b="0"/>
                  <wp:docPr id="41" name="图片 8" descr="铝踢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8" descr="铝踢脚"/>
                          <pic:cNvPicPr>
                            <a:picLocks noChangeAspect="1"/>
                          </pic:cNvPicPr>
                        </pic:nvPicPr>
                        <pic:blipFill>
                          <a:blip r:embed="rId10"/>
                          <a:srcRect l="18799"/>
                          <a:stretch>
                            <a:fillRect/>
                          </a:stretch>
                        </pic:blipFill>
                        <pic:spPr>
                          <a:xfrm>
                            <a:off x="0" y="0"/>
                            <a:ext cx="2190750" cy="1619250"/>
                          </a:xfrm>
                          <a:prstGeom prst="rect">
                            <a:avLst/>
                          </a:prstGeom>
                          <a:noFill/>
                          <a:ln>
                            <a:noFill/>
                          </a:ln>
                        </pic:spPr>
                      </pic:pic>
                    </a:graphicData>
                  </a:graphic>
                </wp:inline>
              </w:drawing>
            </w:r>
          </w:p>
          <w:p>
            <w:pPr>
              <w:spacing w:line="360" w:lineRule="auto"/>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转角连接图</w:t>
            </w:r>
          </w:p>
        </w:tc>
        <w:tc>
          <w:tcPr>
            <w:tcW w:w="3868" w:type="dxa"/>
          </w:tcPr>
          <w:p>
            <w:pPr>
              <w:spacing w:line="360" w:lineRule="auto"/>
              <w:jc w:val="center"/>
              <w:rPr>
                <w:rFonts w:ascii="仿宋" w:hAnsi="仿宋" w:eastAsia="仿宋" w:cs="仿宋"/>
                <w:color w:val="auto"/>
                <w:sz w:val="24"/>
                <w:szCs w:val="24"/>
                <w:highlight w:val="none"/>
              </w:rPr>
            </w:pPr>
          </w:p>
          <w:p>
            <w:pPr>
              <w:spacing w:line="360" w:lineRule="auto"/>
              <w:ind w:firstLine="1080" w:firstLineChars="450"/>
              <w:rPr>
                <w:rFonts w:ascii="仿宋" w:hAnsi="仿宋" w:eastAsia="仿宋" w:cs="仿宋"/>
                <w:color w:val="auto"/>
                <w:sz w:val="24"/>
                <w:szCs w:val="24"/>
                <w:highlight w:val="none"/>
              </w:rPr>
            </w:pPr>
          </w:p>
          <w:p>
            <w:pPr>
              <w:spacing w:line="360" w:lineRule="auto"/>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drawing>
                <wp:anchor distT="0" distB="0" distL="114300" distR="114300" simplePos="0" relativeHeight="251659264" behindDoc="0" locked="0" layoutInCell="1" allowOverlap="1">
                  <wp:simplePos x="0" y="0"/>
                  <wp:positionH relativeFrom="column">
                    <wp:posOffset>412750</wp:posOffset>
                  </wp:positionH>
                  <wp:positionV relativeFrom="paragraph">
                    <wp:posOffset>-1789430</wp:posOffset>
                  </wp:positionV>
                  <wp:extent cx="1550035" cy="1588770"/>
                  <wp:effectExtent l="0" t="0" r="0" b="0"/>
                  <wp:wrapSquare wrapText="bothSides"/>
                  <wp:docPr id="42" name="图片 272" descr="阳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72" descr="阳角"/>
                          <pic:cNvPicPr>
                            <a:picLocks noChangeAspect="1"/>
                          </pic:cNvPicPr>
                        </pic:nvPicPr>
                        <pic:blipFill>
                          <a:blip r:embed="rId11"/>
                          <a:srcRect l="17355" t="26970" r="50095" b="15588"/>
                          <a:stretch>
                            <a:fillRect/>
                          </a:stretch>
                        </pic:blipFill>
                        <pic:spPr>
                          <a:xfrm>
                            <a:off x="0" y="0"/>
                            <a:ext cx="1550035" cy="1588770"/>
                          </a:xfrm>
                          <a:prstGeom prst="rect">
                            <a:avLst/>
                          </a:prstGeom>
                          <a:noFill/>
                          <a:ln>
                            <a:noFill/>
                          </a:ln>
                        </pic:spPr>
                      </pic:pic>
                    </a:graphicData>
                  </a:graphic>
                </wp:anchor>
              </w:drawing>
            </w:r>
            <w:r>
              <w:rPr>
                <w:rFonts w:hint="eastAsia" w:ascii="仿宋" w:hAnsi="仿宋" w:eastAsia="仿宋" w:cs="仿宋"/>
                <w:color w:val="auto"/>
                <w:sz w:val="24"/>
                <w:szCs w:val="24"/>
                <w:highlight w:val="none"/>
              </w:rPr>
              <w:t>转角连接码</w:t>
            </w:r>
          </w:p>
        </w:tc>
      </w:tr>
      <w:bookmarkEnd w:id="83"/>
    </w:tbl>
    <w:p>
      <w:pPr>
        <w:spacing w:line="400" w:lineRule="exact"/>
        <w:rPr>
          <w:rFonts w:ascii="仿宋" w:hAnsi="仿宋" w:eastAsia="仿宋" w:cs="仿宋"/>
          <w:b/>
          <w:color w:val="auto"/>
          <w:sz w:val="24"/>
          <w:szCs w:val="24"/>
          <w:highlight w:val="none"/>
        </w:rPr>
      </w:pPr>
    </w:p>
    <w:p>
      <w:pPr>
        <w:spacing w:line="400" w:lineRule="exac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（三）分户型具体技术要求：</w:t>
      </w:r>
    </w:p>
    <w:p>
      <w:pPr>
        <w:pStyle w:val="179"/>
        <w:ind w:firstLine="241"/>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 A户型（40套）</w:t>
      </w:r>
    </w:p>
    <w:p>
      <w:pPr>
        <w:pStyle w:val="179"/>
        <w:ind w:firstLine="723" w:firstLineChars="300"/>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户型图：                         效果图：</w:t>
      </w:r>
    </w:p>
    <w:p>
      <w:pPr>
        <w:pStyle w:val="179"/>
        <w:ind w:firstLine="241"/>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drawing>
          <wp:inline distT="0" distB="0" distL="114300" distR="114300">
            <wp:extent cx="2072005" cy="2230120"/>
            <wp:effectExtent l="0" t="0" r="4445" b="17780"/>
            <wp:docPr id="9" name="图片 9" desc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1"/>
                    <pic:cNvPicPr>
                      <a:picLocks noChangeAspect="1"/>
                    </pic:cNvPicPr>
                  </pic:nvPicPr>
                  <pic:blipFill>
                    <a:blip r:embed="rId12"/>
                    <a:srcRect b="8803"/>
                    <a:stretch>
                      <a:fillRect/>
                    </a:stretch>
                  </pic:blipFill>
                  <pic:spPr>
                    <a:xfrm flipH="1">
                      <a:off x="0" y="0"/>
                      <a:ext cx="2072005" cy="2230120"/>
                    </a:xfrm>
                    <a:prstGeom prst="rect">
                      <a:avLst/>
                    </a:prstGeom>
                  </pic:spPr>
                </pic:pic>
              </a:graphicData>
            </a:graphic>
          </wp:inline>
        </w:drawing>
      </w:r>
      <w:r>
        <w:rPr>
          <w:rFonts w:hint="eastAsia" w:ascii="仿宋" w:hAnsi="仿宋" w:eastAsia="仿宋" w:cs="仿宋"/>
          <w:b/>
          <w:color w:val="auto"/>
          <w:sz w:val="24"/>
          <w:szCs w:val="24"/>
          <w:highlight w:val="none"/>
        </w:rPr>
        <w:drawing>
          <wp:inline distT="0" distB="0" distL="114300" distR="114300">
            <wp:extent cx="2889250" cy="1625600"/>
            <wp:effectExtent l="0" t="0" r="6350" b="12700"/>
            <wp:docPr id="10" name="图片 10" descr="微信图片_20220817133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20817133733"/>
                    <pic:cNvPicPr>
                      <a:picLocks noChangeAspect="1"/>
                    </pic:cNvPicPr>
                  </pic:nvPicPr>
                  <pic:blipFill>
                    <a:blip r:embed="rId13"/>
                    <a:stretch>
                      <a:fillRect/>
                    </a:stretch>
                  </pic:blipFill>
                  <pic:spPr>
                    <a:xfrm>
                      <a:off x="0" y="0"/>
                      <a:ext cx="2889250" cy="1625600"/>
                    </a:xfrm>
                    <a:prstGeom prst="rect">
                      <a:avLst/>
                    </a:prstGeom>
                  </pic:spPr>
                </pic:pic>
              </a:graphicData>
            </a:graphic>
          </wp:inline>
        </w:drawing>
      </w:r>
    </w:p>
    <w:p>
      <w:pPr>
        <w:pStyle w:val="179"/>
        <w:ind w:firstLine="241"/>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方案图：</w:t>
      </w:r>
    </w:p>
    <w:p>
      <w:pPr>
        <w:pStyle w:val="179"/>
        <w:ind w:firstLine="0" w:firstLineChars="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drawing>
          <wp:inline distT="0" distB="0" distL="114300" distR="114300">
            <wp:extent cx="5086350" cy="4862830"/>
            <wp:effectExtent l="0" t="0" r="0" b="13970"/>
            <wp:docPr id="11" name="图片 11" descr="AA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AAAAA"/>
                    <pic:cNvPicPr>
                      <a:picLocks noChangeAspect="1"/>
                    </pic:cNvPicPr>
                  </pic:nvPicPr>
                  <pic:blipFill>
                    <a:blip r:embed="rId14"/>
                    <a:stretch>
                      <a:fillRect/>
                    </a:stretch>
                  </pic:blipFill>
                  <pic:spPr>
                    <a:xfrm>
                      <a:off x="0" y="0"/>
                      <a:ext cx="5093236" cy="4869042"/>
                    </a:xfrm>
                    <a:prstGeom prst="rect">
                      <a:avLst/>
                    </a:prstGeom>
                  </pic:spPr>
                </pic:pic>
              </a:graphicData>
            </a:graphic>
          </wp:inline>
        </w:drawing>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5"/>
        <w:gridCol w:w="696"/>
        <w:gridCol w:w="2256"/>
        <w:gridCol w:w="2299"/>
        <w:gridCol w:w="35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tcPr>
          <w:p>
            <w:pPr>
              <w:pStyle w:val="179"/>
              <w:ind w:firstLine="0" w:firstLineChars="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A户型技术要求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2" w:type="pct"/>
          </w:tcPr>
          <w:p>
            <w:pPr>
              <w:pStyle w:val="179"/>
              <w:ind w:firstLine="0" w:firstLineChars="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项目</w:t>
            </w:r>
          </w:p>
        </w:tc>
        <w:tc>
          <w:tcPr>
            <w:tcW w:w="483" w:type="pct"/>
          </w:tcPr>
          <w:p>
            <w:pPr>
              <w:pStyle w:val="179"/>
              <w:ind w:firstLine="0" w:firstLineChars="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柜号</w:t>
            </w:r>
          </w:p>
        </w:tc>
        <w:tc>
          <w:tcPr>
            <w:tcW w:w="677" w:type="pct"/>
          </w:tcPr>
          <w:p>
            <w:pPr>
              <w:pStyle w:val="179"/>
              <w:ind w:firstLine="0" w:firstLineChars="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规格</w:t>
            </w:r>
          </w:p>
        </w:tc>
        <w:tc>
          <w:tcPr>
            <w:tcW w:w="1415" w:type="pct"/>
          </w:tcPr>
          <w:p>
            <w:pPr>
              <w:pStyle w:val="179"/>
              <w:ind w:firstLine="0" w:firstLineChars="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要求</w:t>
            </w:r>
          </w:p>
        </w:tc>
        <w:tc>
          <w:tcPr>
            <w:tcW w:w="1661" w:type="pct"/>
          </w:tcPr>
          <w:p>
            <w:pPr>
              <w:pStyle w:val="179"/>
              <w:ind w:firstLine="0" w:firstLineChars="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技术参考图纸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2"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普通开门地柜</w:t>
            </w:r>
          </w:p>
        </w:tc>
        <w:tc>
          <w:tcPr>
            <w:tcW w:w="483"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01</w:t>
            </w:r>
          </w:p>
        </w:tc>
        <w:tc>
          <w:tcPr>
            <w:tcW w:w="677"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（宽*深*高）350mm*560mm*660mm</w:t>
            </w:r>
          </w:p>
        </w:tc>
        <w:tc>
          <w:tcPr>
            <w:tcW w:w="1415" w:type="pct"/>
          </w:tcPr>
          <w:p>
            <w:pPr>
              <w:pStyle w:val="179"/>
              <w:spacing w:line="120" w:lineRule="auto"/>
              <w:ind w:firstLine="0" w:firstLineChars="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配活动隔板</w:t>
            </w:r>
          </w:p>
        </w:tc>
        <w:tc>
          <w:tcPr>
            <w:tcW w:w="1661"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drawing>
                <wp:inline distT="0" distB="0" distL="114300" distR="114300">
                  <wp:extent cx="1948815" cy="1281430"/>
                  <wp:effectExtent l="0" t="0" r="13335" b="13970"/>
                  <wp:docPr id="21" name="图片 21" descr="1661853657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661853657539"/>
                          <pic:cNvPicPr>
                            <a:picLocks noChangeAspect="1"/>
                          </pic:cNvPicPr>
                        </pic:nvPicPr>
                        <pic:blipFill>
                          <a:blip r:embed="rId15"/>
                          <a:stretch>
                            <a:fillRect/>
                          </a:stretch>
                        </pic:blipFill>
                        <pic:spPr>
                          <a:xfrm>
                            <a:off x="0" y="0"/>
                            <a:ext cx="1948815" cy="12814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2"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分水器地柜</w:t>
            </w:r>
          </w:p>
        </w:tc>
        <w:tc>
          <w:tcPr>
            <w:tcW w:w="483"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02</w:t>
            </w:r>
          </w:p>
        </w:tc>
        <w:tc>
          <w:tcPr>
            <w:tcW w:w="677"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（宽*深*高）850mm*560mm*660mm</w:t>
            </w:r>
          </w:p>
        </w:tc>
        <w:tc>
          <w:tcPr>
            <w:tcW w:w="1415"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无背板，底板、隔板前移，底板配拉板。</w:t>
            </w:r>
          </w:p>
        </w:tc>
        <w:tc>
          <w:tcPr>
            <w:tcW w:w="1661"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drawing>
                <wp:inline distT="0" distB="0" distL="114300" distR="114300">
                  <wp:extent cx="1489075" cy="1412875"/>
                  <wp:effectExtent l="0" t="0" r="15875" b="15875"/>
                  <wp:docPr id="13" name="图片 13" descr="166078925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60789254203"/>
                          <pic:cNvPicPr>
                            <a:picLocks noChangeAspect="1"/>
                          </pic:cNvPicPr>
                        </pic:nvPicPr>
                        <pic:blipFill>
                          <a:blip r:embed="rId16"/>
                          <a:stretch>
                            <a:fillRect/>
                          </a:stretch>
                        </pic:blipFill>
                        <pic:spPr>
                          <a:xfrm>
                            <a:off x="0" y="0"/>
                            <a:ext cx="1489075" cy="14128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2"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水盆地柜</w:t>
            </w:r>
          </w:p>
        </w:tc>
        <w:tc>
          <w:tcPr>
            <w:tcW w:w="483"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03</w:t>
            </w:r>
          </w:p>
        </w:tc>
        <w:tc>
          <w:tcPr>
            <w:tcW w:w="677"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（宽*深*高）900mm*560mm*660mm</w:t>
            </w:r>
          </w:p>
        </w:tc>
        <w:tc>
          <w:tcPr>
            <w:tcW w:w="1415"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无背板，无隔板，配防水铝箔底板、铝横梁。</w:t>
            </w:r>
          </w:p>
        </w:tc>
        <w:tc>
          <w:tcPr>
            <w:tcW w:w="1661" w:type="pct"/>
          </w:tcPr>
          <w:p>
            <w:pPr>
              <w:pStyle w:val="179"/>
              <w:ind w:firstLine="24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drawing>
                <wp:inline distT="0" distB="0" distL="114300" distR="114300">
                  <wp:extent cx="1949450" cy="1282065"/>
                  <wp:effectExtent l="0" t="0" r="12700" b="13335"/>
                  <wp:docPr id="4" name="图片 4" descr="1661853785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61853785854"/>
                          <pic:cNvPicPr>
                            <a:picLocks noChangeAspect="1"/>
                          </pic:cNvPicPr>
                        </pic:nvPicPr>
                        <pic:blipFill>
                          <a:blip r:embed="rId17"/>
                          <a:stretch>
                            <a:fillRect/>
                          </a:stretch>
                        </pic:blipFill>
                        <pic:spPr>
                          <a:xfrm>
                            <a:off x="0" y="0"/>
                            <a:ext cx="1949450" cy="12820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2"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灶台地柜</w:t>
            </w:r>
          </w:p>
        </w:tc>
        <w:tc>
          <w:tcPr>
            <w:tcW w:w="483"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04</w:t>
            </w:r>
          </w:p>
        </w:tc>
        <w:tc>
          <w:tcPr>
            <w:tcW w:w="677"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（宽*深*高）700mm*560mm*660mm</w:t>
            </w:r>
          </w:p>
        </w:tc>
        <w:tc>
          <w:tcPr>
            <w:tcW w:w="1415"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配活动隔板，右侧板切割燃气灶预留孔位</w:t>
            </w:r>
          </w:p>
        </w:tc>
        <w:tc>
          <w:tcPr>
            <w:tcW w:w="1661"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drawing>
                <wp:inline distT="0" distB="0" distL="114300" distR="114300">
                  <wp:extent cx="1362710" cy="1445895"/>
                  <wp:effectExtent l="0" t="0" r="8890" b="1905"/>
                  <wp:docPr id="15" name="图片 15" descr="1660789817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60789817384"/>
                          <pic:cNvPicPr>
                            <a:picLocks noChangeAspect="1"/>
                          </pic:cNvPicPr>
                        </pic:nvPicPr>
                        <pic:blipFill>
                          <a:blip r:embed="rId18"/>
                          <a:stretch>
                            <a:fillRect/>
                          </a:stretch>
                        </pic:blipFill>
                        <pic:spPr>
                          <a:xfrm>
                            <a:off x="0" y="0"/>
                            <a:ext cx="1362710" cy="144589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2"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普通开门吊柜</w:t>
            </w:r>
          </w:p>
        </w:tc>
        <w:tc>
          <w:tcPr>
            <w:tcW w:w="483"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01、02</w:t>
            </w:r>
          </w:p>
        </w:tc>
        <w:tc>
          <w:tcPr>
            <w:tcW w:w="677"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（宽*深*高）470mm*330mm*750mm（01、02）</w:t>
            </w:r>
          </w:p>
        </w:tc>
        <w:tc>
          <w:tcPr>
            <w:tcW w:w="1415"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配活动隔板，门板下降。</w:t>
            </w:r>
          </w:p>
        </w:tc>
        <w:tc>
          <w:tcPr>
            <w:tcW w:w="1661"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drawing>
                <wp:inline distT="0" distB="0" distL="114300" distR="114300">
                  <wp:extent cx="1946910" cy="1129665"/>
                  <wp:effectExtent l="0" t="0" r="15240" b="13335"/>
                  <wp:docPr id="14" name="图片 14" descr="166185415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61854151372"/>
                          <pic:cNvPicPr>
                            <a:picLocks noChangeAspect="1"/>
                          </pic:cNvPicPr>
                        </pic:nvPicPr>
                        <pic:blipFill>
                          <a:blip r:embed="rId19"/>
                          <a:stretch>
                            <a:fillRect/>
                          </a:stretch>
                        </pic:blipFill>
                        <pic:spPr>
                          <a:xfrm>
                            <a:off x="0" y="0"/>
                            <a:ext cx="1946910" cy="11296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2"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切角吊柜</w:t>
            </w:r>
          </w:p>
        </w:tc>
        <w:tc>
          <w:tcPr>
            <w:tcW w:w="483"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03</w:t>
            </w:r>
          </w:p>
        </w:tc>
        <w:tc>
          <w:tcPr>
            <w:tcW w:w="677"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（宽*深*高）940mm*330mm*750mm</w:t>
            </w:r>
          </w:p>
        </w:tc>
        <w:tc>
          <w:tcPr>
            <w:tcW w:w="1415"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配活动隔板，门板下降，切角包管。</w:t>
            </w:r>
          </w:p>
        </w:tc>
        <w:tc>
          <w:tcPr>
            <w:tcW w:w="1661"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drawing>
                <wp:inline distT="0" distB="0" distL="114300" distR="114300">
                  <wp:extent cx="2028825" cy="1261110"/>
                  <wp:effectExtent l="0" t="0" r="9525" b="15240"/>
                  <wp:docPr id="17" name="图片 17" descr="166079070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60790705123"/>
                          <pic:cNvPicPr>
                            <a:picLocks noChangeAspect="1"/>
                          </pic:cNvPicPr>
                        </pic:nvPicPr>
                        <pic:blipFill>
                          <a:blip r:embed="rId20"/>
                          <a:stretch>
                            <a:fillRect/>
                          </a:stretch>
                        </pic:blipFill>
                        <pic:spPr>
                          <a:xfrm>
                            <a:off x="0" y="0"/>
                            <a:ext cx="2028825" cy="12611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2"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烟机吊柜</w:t>
            </w:r>
          </w:p>
        </w:tc>
        <w:tc>
          <w:tcPr>
            <w:tcW w:w="483"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04</w:t>
            </w:r>
          </w:p>
        </w:tc>
        <w:tc>
          <w:tcPr>
            <w:tcW w:w="677"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（宽*深*高）990mm*330mm*750mm</w:t>
            </w:r>
          </w:p>
        </w:tc>
        <w:tc>
          <w:tcPr>
            <w:tcW w:w="1415"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两侧烟机补充柜，配隔板，共用门板，门板下降。</w:t>
            </w:r>
          </w:p>
        </w:tc>
        <w:tc>
          <w:tcPr>
            <w:tcW w:w="1661"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drawing>
                <wp:inline distT="0" distB="0" distL="114300" distR="114300">
                  <wp:extent cx="2031365" cy="1370330"/>
                  <wp:effectExtent l="0" t="0" r="6985" b="1270"/>
                  <wp:docPr id="18" name="图片 18" descr="1660790948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660790948419"/>
                          <pic:cNvPicPr>
                            <a:picLocks noChangeAspect="1"/>
                          </pic:cNvPicPr>
                        </pic:nvPicPr>
                        <pic:blipFill>
                          <a:blip r:embed="rId21"/>
                          <a:stretch>
                            <a:fillRect/>
                          </a:stretch>
                        </pic:blipFill>
                        <pic:spPr>
                          <a:xfrm>
                            <a:off x="0" y="0"/>
                            <a:ext cx="2031365" cy="13703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2"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台面</w:t>
            </w:r>
          </w:p>
        </w:tc>
        <w:tc>
          <w:tcPr>
            <w:tcW w:w="483"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c>
          <w:tcPr>
            <w:tcW w:w="677" w:type="pct"/>
          </w:tcPr>
          <w:p>
            <w:pPr>
              <w:pStyle w:val="17"/>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（长*深）4950mm*600mm</w:t>
            </w:r>
          </w:p>
        </w:tc>
        <w:tc>
          <w:tcPr>
            <w:tcW w:w="1415"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单色石英石，（花色实物送样），厚度15mm，上翻挡水50mm，下翻下挂40mm，25mmPVC垫条垫起。</w:t>
            </w:r>
          </w:p>
        </w:tc>
        <w:tc>
          <w:tcPr>
            <w:tcW w:w="1661"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drawing>
                <wp:inline distT="0" distB="0" distL="114300" distR="114300">
                  <wp:extent cx="1837055" cy="867410"/>
                  <wp:effectExtent l="0" t="0" r="10795" b="8890"/>
                  <wp:docPr id="57" name="图片 57" descr="1660801883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1660801883952"/>
                          <pic:cNvPicPr>
                            <a:picLocks noChangeAspect="1"/>
                          </pic:cNvPicPr>
                        </pic:nvPicPr>
                        <pic:blipFill>
                          <a:blip r:embed="rId22"/>
                          <a:stretch>
                            <a:fillRect/>
                          </a:stretch>
                        </pic:blipFill>
                        <pic:spPr>
                          <a:xfrm>
                            <a:off x="0" y="0"/>
                            <a:ext cx="1837055" cy="8674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8" w:hRule="atLeast"/>
          <w:jc w:val="center"/>
        </w:trPr>
        <w:tc>
          <w:tcPr>
            <w:tcW w:w="762"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水盆</w:t>
            </w:r>
          </w:p>
        </w:tc>
        <w:tc>
          <w:tcPr>
            <w:tcW w:w="483"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c>
          <w:tcPr>
            <w:tcW w:w="677" w:type="pct"/>
          </w:tcPr>
          <w:p>
            <w:pPr>
              <w:pStyle w:val="17"/>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（宽*深*高）</w:t>
            </w:r>
          </w:p>
          <w:p>
            <w:pPr>
              <w:pStyle w:val="17"/>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650mm*450mm*220 mm</w:t>
            </w:r>
          </w:p>
        </w:tc>
        <w:tc>
          <w:tcPr>
            <w:tcW w:w="1415"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304不锈钢，整体拉伸，精细圆拉丝，壁厚0.8±0.05mm，配组合下水。</w:t>
            </w:r>
          </w:p>
        </w:tc>
        <w:tc>
          <w:tcPr>
            <w:tcW w:w="1661"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drawing>
                <wp:inline distT="0" distB="0" distL="114300" distR="114300">
                  <wp:extent cx="1825625" cy="1259205"/>
                  <wp:effectExtent l="0" t="0" r="3175" b="17145"/>
                  <wp:docPr id="34" name="图片 34" descr="1660803782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660803782699"/>
                          <pic:cNvPicPr>
                            <a:picLocks noChangeAspect="1"/>
                          </pic:cNvPicPr>
                        </pic:nvPicPr>
                        <pic:blipFill>
                          <a:blip r:embed="rId23"/>
                          <a:stretch>
                            <a:fillRect/>
                          </a:stretch>
                        </pic:blipFill>
                        <pic:spPr>
                          <a:xfrm>
                            <a:off x="0" y="0"/>
                            <a:ext cx="1825625" cy="125920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4" w:hRule="atLeast"/>
          <w:jc w:val="center"/>
        </w:trPr>
        <w:tc>
          <w:tcPr>
            <w:tcW w:w="762"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龙头</w:t>
            </w:r>
          </w:p>
        </w:tc>
        <w:tc>
          <w:tcPr>
            <w:tcW w:w="483"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c>
          <w:tcPr>
            <w:tcW w:w="677"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（高）380 mm</w:t>
            </w:r>
          </w:p>
        </w:tc>
        <w:tc>
          <w:tcPr>
            <w:tcW w:w="1415"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304不锈钢，拉丝，配进水软管。</w:t>
            </w:r>
          </w:p>
          <w:p>
            <w:pPr>
              <w:pStyle w:val="179"/>
              <w:ind w:firstLine="0" w:firstLineChars="0"/>
              <w:rPr>
                <w:rFonts w:ascii="仿宋" w:hAnsi="仿宋" w:eastAsia="仿宋" w:cs="仿宋"/>
                <w:color w:val="auto"/>
                <w:sz w:val="24"/>
                <w:szCs w:val="24"/>
                <w:highlight w:val="none"/>
              </w:rPr>
            </w:pPr>
          </w:p>
        </w:tc>
        <w:tc>
          <w:tcPr>
            <w:tcW w:w="1661"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drawing>
                <wp:inline distT="0" distB="0" distL="114300" distR="114300">
                  <wp:extent cx="913765" cy="970280"/>
                  <wp:effectExtent l="0" t="0" r="635" b="1270"/>
                  <wp:docPr id="38" name="图片 38" descr="1660804132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660804132819"/>
                          <pic:cNvPicPr>
                            <a:picLocks noChangeAspect="1"/>
                          </pic:cNvPicPr>
                        </pic:nvPicPr>
                        <pic:blipFill>
                          <a:blip r:embed="rId24"/>
                          <a:stretch>
                            <a:fillRect/>
                          </a:stretch>
                        </pic:blipFill>
                        <pic:spPr>
                          <a:xfrm>
                            <a:off x="0" y="0"/>
                            <a:ext cx="913765" cy="970280"/>
                          </a:xfrm>
                          <a:prstGeom prst="rect">
                            <a:avLst/>
                          </a:prstGeom>
                        </pic:spPr>
                      </pic:pic>
                    </a:graphicData>
                  </a:graphic>
                </wp:inline>
              </w:drawing>
            </w:r>
          </w:p>
        </w:tc>
      </w:tr>
    </w:tbl>
    <w:p>
      <w:pPr>
        <w:pStyle w:val="179"/>
        <w:ind w:firstLine="0" w:firstLineChars="0"/>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2、 B户型（6套）</w:t>
      </w:r>
    </w:p>
    <w:p>
      <w:pPr>
        <w:pStyle w:val="179"/>
        <w:ind w:firstLine="0" w:firstLineChars="0"/>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户型图：                        效果图：</w:t>
      </w:r>
    </w:p>
    <w:p>
      <w:pPr>
        <w:pStyle w:val="17"/>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drawing>
          <wp:inline distT="0" distB="0" distL="114300" distR="114300">
            <wp:extent cx="1884680" cy="1703705"/>
            <wp:effectExtent l="0" t="0" r="1270" b="10795"/>
            <wp:docPr id="40" name="图片 40"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a"/>
                    <pic:cNvPicPr>
                      <a:picLocks noChangeAspect="1"/>
                    </pic:cNvPicPr>
                  </pic:nvPicPr>
                  <pic:blipFill>
                    <a:blip r:embed="rId25"/>
                    <a:srcRect b="8242"/>
                    <a:stretch>
                      <a:fillRect/>
                    </a:stretch>
                  </pic:blipFill>
                  <pic:spPr>
                    <a:xfrm>
                      <a:off x="0" y="0"/>
                      <a:ext cx="1896104" cy="1714398"/>
                    </a:xfrm>
                    <a:prstGeom prst="rect">
                      <a:avLst/>
                    </a:prstGeom>
                  </pic:spPr>
                </pic:pic>
              </a:graphicData>
            </a:graphic>
          </wp:inline>
        </w:drawing>
      </w:r>
      <w:r>
        <w:rPr>
          <w:rFonts w:hint="eastAsia" w:ascii="仿宋" w:hAnsi="仿宋" w:eastAsia="仿宋" w:cs="仿宋"/>
          <w:b/>
          <w:color w:val="auto"/>
          <w:sz w:val="24"/>
          <w:szCs w:val="24"/>
          <w:highlight w:val="none"/>
        </w:rPr>
        <w:t xml:space="preserve">      </w:t>
      </w:r>
      <w:r>
        <w:rPr>
          <w:rFonts w:hint="eastAsia" w:ascii="仿宋" w:hAnsi="仿宋" w:eastAsia="仿宋" w:cs="仿宋"/>
          <w:b/>
          <w:color w:val="auto"/>
          <w:sz w:val="24"/>
          <w:szCs w:val="24"/>
          <w:highlight w:val="none"/>
        </w:rPr>
        <w:drawing>
          <wp:inline distT="0" distB="0" distL="114300" distR="114300">
            <wp:extent cx="2564765" cy="1442720"/>
            <wp:effectExtent l="0" t="0" r="6985" b="5080"/>
            <wp:docPr id="46" name="图片 46" descr="微信图片_20220817133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微信图片_20220817133742"/>
                    <pic:cNvPicPr>
                      <a:picLocks noChangeAspect="1"/>
                    </pic:cNvPicPr>
                  </pic:nvPicPr>
                  <pic:blipFill>
                    <a:blip r:embed="rId26"/>
                    <a:stretch>
                      <a:fillRect/>
                    </a:stretch>
                  </pic:blipFill>
                  <pic:spPr>
                    <a:xfrm>
                      <a:off x="0" y="0"/>
                      <a:ext cx="2571013" cy="1446195"/>
                    </a:xfrm>
                    <a:prstGeom prst="rect">
                      <a:avLst/>
                    </a:prstGeom>
                  </pic:spPr>
                </pic:pic>
              </a:graphicData>
            </a:graphic>
          </wp:inline>
        </w:drawing>
      </w:r>
    </w:p>
    <w:p>
      <w:pPr>
        <w:pStyle w:val="17"/>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方案图：</w:t>
      </w:r>
    </w:p>
    <w:p>
      <w:pPr>
        <w:pStyle w:val="179"/>
        <w:ind w:firstLine="24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drawing>
          <wp:inline distT="0" distB="0" distL="114300" distR="114300">
            <wp:extent cx="5137785" cy="3911600"/>
            <wp:effectExtent l="0" t="0" r="5715" b="12700"/>
            <wp:docPr id="19" name="图片 19" descr="166079176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660791762632"/>
                    <pic:cNvPicPr>
                      <a:picLocks noChangeAspect="1"/>
                    </pic:cNvPicPr>
                  </pic:nvPicPr>
                  <pic:blipFill>
                    <a:blip r:embed="rId27"/>
                    <a:stretch>
                      <a:fillRect/>
                    </a:stretch>
                  </pic:blipFill>
                  <pic:spPr>
                    <a:xfrm>
                      <a:off x="0" y="0"/>
                      <a:ext cx="5142427" cy="3914695"/>
                    </a:xfrm>
                    <a:prstGeom prst="rect">
                      <a:avLst/>
                    </a:prstGeom>
                  </pic:spPr>
                </pic:pic>
              </a:graphicData>
            </a:graphic>
          </wp:inline>
        </w:drawing>
      </w:r>
    </w:p>
    <w:p>
      <w:pPr>
        <w:pStyle w:val="17"/>
        <w:rPr>
          <w:rFonts w:ascii="仿宋" w:hAnsi="仿宋" w:eastAsia="仿宋" w:cs="仿宋"/>
          <w:color w:val="auto"/>
          <w:sz w:val="24"/>
          <w:szCs w:val="24"/>
          <w:highlight w:val="none"/>
        </w:rPr>
      </w:pP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0"/>
        <w:gridCol w:w="724"/>
        <w:gridCol w:w="2256"/>
        <w:gridCol w:w="1985"/>
        <w:gridCol w:w="3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tcPr>
          <w:p>
            <w:pPr>
              <w:pStyle w:val="179"/>
              <w:ind w:firstLine="0" w:firstLineChars="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B户型技术要求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7" w:type="pct"/>
          </w:tcPr>
          <w:p>
            <w:pPr>
              <w:pStyle w:val="179"/>
              <w:ind w:firstLine="0" w:firstLineChars="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项目</w:t>
            </w:r>
          </w:p>
        </w:tc>
        <w:tc>
          <w:tcPr>
            <w:tcW w:w="493" w:type="pct"/>
          </w:tcPr>
          <w:p>
            <w:pPr>
              <w:pStyle w:val="179"/>
              <w:ind w:firstLine="0" w:firstLineChars="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柜号</w:t>
            </w:r>
          </w:p>
        </w:tc>
        <w:tc>
          <w:tcPr>
            <w:tcW w:w="842" w:type="pct"/>
          </w:tcPr>
          <w:p>
            <w:pPr>
              <w:pStyle w:val="179"/>
              <w:ind w:firstLine="0" w:firstLineChars="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规格</w:t>
            </w:r>
          </w:p>
        </w:tc>
        <w:tc>
          <w:tcPr>
            <w:tcW w:w="1126" w:type="pct"/>
          </w:tcPr>
          <w:p>
            <w:pPr>
              <w:pStyle w:val="179"/>
              <w:ind w:firstLine="0" w:firstLineChars="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要求</w:t>
            </w:r>
          </w:p>
        </w:tc>
        <w:tc>
          <w:tcPr>
            <w:tcW w:w="1760" w:type="pct"/>
          </w:tcPr>
          <w:p>
            <w:pPr>
              <w:pStyle w:val="179"/>
              <w:ind w:firstLine="0" w:firstLineChars="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技术参考图纸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7"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普通开门地柜</w:t>
            </w:r>
          </w:p>
        </w:tc>
        <w:tc>
          <w:tcPr>
            <w:tcW w:w="493"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01、03、05</w:t>
            </w:r>
          </w:p>
        </w:tc>
        <w:tc>
          <w:tcPr>
            <w:tcW w:w="842"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（宽*深*高）01：460mm*560mm*660mm（01）；450mm*560mm*660mm（03）；</w:t>
            </w:r>
          </w:p>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450mm*560mm*660mm（05）</w:t>
            </w:r>
          </w:p>
        </w:tc>
        <w:tc>
          <w:tcPr>
            <w:tcW w:w="1126"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配活动隔板</w:t>
            </w:r>
          </w:p>
        </w:tc>
        <w:tc>
          <w:tcPr>
            <w:tcW w:w="1760"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drawing>
                <wp:inline distT="0" distB="0" distL="114300" distR="114300">
                  <wp:extent cx="1948815" cy="1281430"/>
                  <wp:effectExtent l="0" t="0" r="13335" b="13970"/>
                  <wp:docPr id="22" name="图片 22" descr="1661853657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661853657539"/>
                          <pic:cNvPicPr>
                            <a:picLocks noChangeAspect="1"/>
                          </pic:cNvPicPr>
                        </pic:nvPicPr>
                        <pic:blipFill>
                          <a:blip r:embed="rId15"/>
                          <a:stretch>
                            <a:fillRect/>
                          </a:stretch>
                        </pic:blipFill>
                        <pic:spPr>
                          <a:xfrm>
                            <a:off x="0" y="0"/>
                            <a:ext cx="1948815" cy="12814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7"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分水器地柜</w:t>
            </w:r>
          </w:p>
        </w:tc>
        <w:tc>
          <w:tcPr>
            <w:tcW w:w="493"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02</w:t>
            </w:r>
          </w:p>
        </w:tc>
        <w:tc>
          <w:tcPr>
            <w:tcW w:w="842"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（宽*深*高）750mm*560mm*660mm</w:t>
            </w:r>
          </w:p>
        </w:tc>
        <w:tc>
          <w:tcPr>
            <w:tcW w:w="1126"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无背板，底板、隔板前移，底板配拉板。</w:t>
            </w:r>
          </w:p>
        </w:tc>
        <w:tc>
          <w:tcPr>
            <w:tcW w:w="1760"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drawing>
                <wp:inline distT="0" distB="0" distL="114300" distR="114300">
                  <wp:extent cx="1489075" cy="1412875"/>
                  <wp:effectExtent l="0" t="0" r="15875" b="15875"/>
                  <wp:docPr id="23" name="图片 23" descr="166078925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660789254203"/>
                          <pic:cNvPicPr>
                            <a:picLocks noChangeAspect="1"/>
                          </pic:cNvPicPr>
                        </pic:nvPicPr>
                        <pic:blipFill>
                          <a:blip r:embed="rId16"/>
                          <a:stretch>
                            <a:fillRect/>
                          </a:stretch>
                        </pic:blipFill>
                        <pic:spPr>
                          <a:xfrm>
                            <a:off x="0" y="0"/>
                            <a:ext cx="1489075" cy="14128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7"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水盆地柜</w:t>
            </w:r>
          </w:p>
        </w:tc>
        <w:tc>
          <w:tcPr>
            <w:tcW w:w="493"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04</w:t>
            </w:r>
          </w:p>
        </w:tc>
        <w:tc>
          <w:tcPr>
            <w:tcW w:w="842"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（宽*深*高）900mm*560mm*660mm</w:t>
            </w:r>
          </w:p>
        </w:tc>
        <w:tc>
          <w:tcPr>
            <w:tcW w:w="1126"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无背板，无隔板，配防水铝箔底板、铝横梁。</w:t>
            </w:r>
          </w:p>
        </w:tc>
        <w:tc>
          <w:tcPr>
            <w:tcW w:w="1760" w:type="pct"/>
          </w:tcPr>
          <w:p>
            <w:pPr>
              <w:pStyle w:val="179"/>
              <w:ind w:firstLine="24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drawing>
                <wp:inline distT="0" distB="0" distL="114300" distR="114300">
                  <wp:extent cx="2029460" cy="1334770"/>
                  <wp:effectExtent l="0" t="0" r="8890" b="17780"/>
                  <wp:docPr id="5" name="图片 5" descr="1661853785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61853785854"/>
                          <pic:cNvPicPr>
                            <a:picLocks noChangeAspect="1"/>
                          </pic:cNvPicPr>
                        </pic:nvPicPr>
                        <pic:blipFill>
                          <a:blip r:embed="rId17"/>
                          <a:stretch>
                            <a:fillRect/>
                          </a:stretch>
                        </pic:blipFill>
                        <pic:spPr>
                          <a:xfrm>
                            <a:off x="0" y="0"/>
                            <a:ext cx="2029460" cy="13347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7"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灶台地柜</w:t>
            </w:r>
          </w:p>
        </w:tc>
        <w:tc>
          <w:tcPr>
            <w:tcW w:w="493"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06、07</w:t>
            </w:r>
          </w:p>
        </w:tc>
        <w:tc>
          <w:tcPr>
            <w:tcW w:w="842"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（宽*深*高）750mm*560mm*660mm（06）；</w:t>
            </w:r>
          </w:p>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460mm*560mm*660mm（07）</w:t>
            </w:r>
          </w:p>
        </w:tc>
        <w:tc>
          <w:tcPr>
            <w:tcW w:w="1126"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配活动隔板，两柜右、左侧板切割燃气灶预留孔位。</w:t>
            </w:r>
          </w:p>
        </w:tc>
        <w:tc>
          <w:tcPr>
            <w:tcW w:w="1760"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drawing>
                <wp:inline distT="0" distB="0" distL="114300" distR="114300">
                  <wp:extent cx="1362710" cy="1445895"/>
                  <wp:effectExtent l="0" t="0" r="8890" b="1905"/>
                  <wp:docPr id="24" name="图片 24" descr="1660789817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660789817384"/>
                          <pic:cNvPicPr>
                            <a:picLocks noChangeAspect="1"/>
                          </pic:cNvPicPr>
                        </pic:nvPicPr>
                        <pic:blipFill>
                          <a:blip r:embed="rId18"/>
                          <a:stretch>
                            <a:fillRect/>
                          </a:stretch>
                        </pic:blipFill>
                        <pic:spPr>
                          <a:xfrm>
                            <a:off x="0" y="0"/>
                            <a:ext cx="1362710" cy="144589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7"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普通开门吊柜</w:t>
            </w:r>
          </w:p>
        </w:tc>
        <w:tc>
          <w:tcPr>
            <w:tcW w:w="493"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01、03</w:t>
            </w:r>
          </w:p>
        </w:tc>
        <w:tc>
          <w:tcPr>
            <w:tcW w:w="842"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（宽*深*高）750mm*330mm*900mm（01）；</w:t>
            </w:r>
          </w:p>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360mm*330mm*900mm（03）</w:t>
            </w:r>
          </w:p>
        </w:tc>
        <w:tc>
          <w:tcPr>
            <w:tcW w:w="1126"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配活动隔板，门板下降。</w:t>
            </w:r>
          </w:p>
        </w:tc>
        <w:tc>
          <w:tcPr>
            <w:tcW w:w="1760"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drawing>
                <wp:inline distT="0" distB="0" distL="114300" distR="114300">
                  <wp:extent cx="2026920" cy="1262380"/>
                  <wp:effectExtent l="0" t="0" r="11430" b="13970"/>
                  <wp:docPr id="12" name="图片 12" descr="1661853919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61853919328"/>
                          <pic:cNvPicPr>
                            <a:picLocks noChangeAspect="1"/>
                          </pic:cNvPicPr>
                        </pic:nvPicPr>
                        <pic:blipFill>
                          <a:blip r:embed="rId28"/>
                          <a:stretch>
                            <a:fillRect/>
                          </a:stretch>
                        </pic:blipFill>
                        <pic:spPr>
                          <a:xfrm>
                            <a:off x="0" y="0"/>
                            <a:ext cx="2026920" cy="12623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7"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切角吊柜</w:t>
            </w:r>
          </w:p>
        </w:tc>
        <w:tc>
          <w:tcPr>
            <w:tcW w:w="493"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02</w:t>
            </w:r>
          </w:p>
        </w:tc>
        <w:tc>
          <w:tcPr>
            <w:tcW w:w="842" w:type="pct"/>
          </w:tcPr>
          <w:p>
            <w:pPr>
              <w:pStyle w:val="17"/>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（宽*深*高）</w:t>
            </w:r>
          </w:p>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750mm*330mm*900mm</w:t>
            </w:r>
          </w:p>
        </w:tc>
        <w:tc>
          <w:tcPr>
            <w:tcW w:w="1126"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配活动隔板，门板下降，切角包管。</w:t>
            </w:r>
          </w:p>
        </w:tc>
        <w:tc>
          <w:tcPr>
            <w:tcW w:w="1760"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drawing>
                <wp:inline distT="0" distB="0" distL="114300" distR="114300">
                  <wp:extent cx="2031365" cy="1421130"/>
                  <wp:effectExtent l="0" t="0" r="6985" b="7620"/>
                  <wp:docPr id="28" name="图片 28" descr="1660793433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660793433319"/>
                          <pic:cNvPicPr>
                            <a:picLocks noChangeAspect="1"/>
                          </pic:cNvPicPr>
                        </pic:nvPicPr>
                        <pic:blipFill>
                          <a:blip r:embed="rId29"/>
                          <a:stretch>
                            <a:fillRect/>
                          </a:stretch>
                        </pic:blipFill>
                        <pic:spPr>
                          <a:xfrm>
                            <a:off x="0" y="0"/>
                            <a:ext cx="2031365" cy="14211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7"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烟机吊柜</w:t>
            </w:r>
          </w:p>
        </w:tc>
        <w:tc>
          <w:tcPr>
            <w:tcW w:w="493"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04</w:t>
            </w:r>
          </w:p>
        </w:tc>
        <w:tc>
          <w:tcPr>
            <w:tcW w:w="842" w:type="pct"/>
          </w:tcPr>
          <w:p>
            <w:pPr>
              <w:pStyle w:val="17"/>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（宽*深*高）</w:t>
            </w:r>
          </w:p>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910mm*330mm*900mm</w:t>
            </w:r>
          </w:p>
        </w:tc>
        <w:tc>
          <w:tcPr>
            <w:tcW w:w="1126"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两侧烟机补充柜，配隔板，共用门板，门板下降。</w:t>
            </w:r>
          </w:p>
        </w:tc>
        <w:tc>
          <w:tcPr>
            <w:tcW w:w="1760"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drawing>
                <wp:inline distT="0" distB="0" distL="114300" distR="114300">
                  <wp:extent cx="2028825" cy="1557020"/>
                  <wp:effectExtent l="0" t="0" r="9525" b="5080"/>
                  <wp:docPr id="29" name="图片 29" descr="1660793552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660793552619"/>
                          <pic:cNvPicPr>
                            <a:picLocks noChangeAspect="1"/>
                          </pic:cNvPicPr>
                        </pic:nvPicPr>
                        <pic:blipFill>
                          <a:blip r:embed="rId30"/>
                          <a:stretch>
                            <a:fillRect/>
                          </a:stretch>
                        </pic:blipFill>
                        <pic:spPr>
                          <a:xfrm>
                            <a:off x="0" y="0"/>
                            <a:ext cx="2028825" cy="15570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7"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台面</w:t>
            </w:r>
          </w:p>
        </w:tc>
        <w:tc>
          <w:tcPr>
            <w:tcW w:w="493"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c>
          <w:tcPr>
            <w:tcW w:w="842" w:type="pct"/>
          </w:tcPr>
          <w:p>
            <w:pPr>
              <w:pStyle w:val="17"/>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（长*深）6000mm*600mm</w:t>
            </w:r>
          </w:p>
        </w:tc>
        <w:tc>
          <w:tcPr>
            <w:tcW w:w="1126"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单色石英石，厚度15mm，上翻挡水50mm，下翻下挂40mm，25mmPVC垫条垫起。</w:t>
            </w:r>
          </w:p>
        </w:tc>
        <w:tc>
          <w:tcPr>
            <w:tcW w:w="1760"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drawing>
                <wp:inline distT="0" distB="0" distL="114300" distR="114300">
                  <wp:extent cx="1837055" cy="867410"/>
                  <wp:effectExtent l="0" t="0" r="10795" b="8890"/>
                  <wp:docPr id="55" name="图片 55" descr="1660801883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1660801883952"/>
                          <pic:cNvPicPr>
                            <a:picLocks noChangeAspect="1"/>
                          </pic:cNvPicPr>
                        </pic:nvPicPr>
                        <pic:blipFill>
                          <a:blip r:embed="rId22"/>
                          <a:stretch>
                            <a:fillRect/>
                          </a:stretch>
                        </pic:blipFill>
                        <pic:spPr>
                          <a:xfrm>
                            <a:off x="0" y="0"/>
                            <a:ext cx="1837055" cy="8674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8" w:hRule="atLeast"/>
          <w:jc w:val="center"/>
        </w:trPr>
        <w:tc>
          <w:tcPr>
            <w:tcW w:w="777"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水盆</w:t>
            </w:r>
          </w:p>
        </w:tc>
        <w:tc>
          <w:tcPr>
            <w:tcW w:w="493"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c>
          <w:tcPr>
            <w:tcW w:w="842" w:type="pct"/>
          </w:tcPr>
          <w:p>
            <w:pPr>
              <w:pStyle w:val="17"/>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（宽*深*高）650mm*450mm*220mm</w:t>
            </w:r>
          </w:p>
        </w:tc>
        <w:tc>
          <w:tcPr>
            <w:tcW w:w="1126"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304不锈钢，整体拉伸，精细圆拉丝，壁厚0.8±0.05mm，配组合下水。</w:t>
            </w:r>
          </w:p>
        </w:tc>
        <w:tc>
          <w:tcPr>
            <w:tcW w:w="1760" w:type="pct"/>
          </w:tcPr>
          <w:p>
            <w:pPr>
              <w:pStyle w:val="179"/>
              <w:ind w:firstLine="0" w:firstLineChars="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drawing>
                <wp:inline distT="0" distB="0" distL="114300" distR="114300">
                  <wp:extent cx="1229360" cy="848360"/>
                  <wp:effectExtent l="0" t="0" r="8890" b="8890"/>
                  <wp:docPr id="25" name="图片 25" descr="1660803782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660803782699"/>
                          <pic:cNvPicPr>
                            <a:picLocks noChangeAspect="1"/>
                          </pic:cNvPicPr>
                        </pic:nvPicPr>
                        <pic:blipFill>
                          <a:blip r:embed="rId23"/>
                          <a:stretch>
                            <a:fillRect/>
                          </a:stretch>
                        </pic:blipFill>
                        <pic:spPr>
                          <a:xfrm>
                            <a:off x="0" y="0"/>
                            <a:ext cx="1229360" cy="8483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4" w:hRule="atLeast"/>
          <w:jc w:val="center"/>
        </w:trPr>
        <w:tc>
          <w:tcPr>
            <w:tcW w:w="777"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龙头</w:t>
            </w:r>
          </w:p>
        </w:tc>
        <w:tc>
          <w:tcPr>
            <w:tcW w:w="493"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c>
          <w:tcPr>
            <w:tcW w:w="842"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（高）380 mm</w:t>
            </w:r>
          </w:p>
        </w:tc>
        <w:tc>
          <w:tcPr>
            <w:tcW w:w="1126"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304不锈钢，拉丝，配进水软管。</w:t>
            </w:r>
          </w:p>
        </w:tc>
        <w:tc>
          <w:tcPr>
            <w:tcW w:w="1760" w:type="pct"/>
          </w:tcPr>
          <w:p>
            <w:pPr>
              <w:pStyle w:val="179"/>
              <w:ind w:firstLine="0" w:firstLineChars="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drawing>
                <wp:inline distT="0" distB="0" distL="114300" distR="114300">
                  <wp:extent cx="616585" cy="654685"/>
                  <wp:effectExtent l="0" t="0" r="12065" b="12065"/>
                  <wp:docPr id="26" name="图片 26" descr="1660804132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660804132819"/>
                          <pic:cNvPicPr>
                            <a:picLocks noChangeAspect="1"/>
                          </pic:cNvPicPr>
                        </pic:nvPicPr>
                        <pic:blipFill>
                          <a:blip r:embed="rId24"/>
                          <a:stretch>
                            <a:fillRect/>
                          </a:stretch>
                        </pic:blipFill>
                        <pic:spPr>
                          <a:xfrm>
                            <a:off x="0" y="0"/>
                            <a:ext cx="616585" cy="654685"/>
                          </a:xfrm>
                          <a:prstGeom prst="rect">
                            <a:avLst/>
                          </a:prstGeom>
                        </pic:spPr>
                      </pic:pic>
                    </a:graphicData>
                  </a:graphic>
                </wp:inline>
              </w:drawing>
            </w:r>
          </w:p>
        </w:tc>
      </w:tr>
    </w:tbl>
    <w:p>
      <w:pPr>
        <w:pStyle w:val="179"/>
        <w:ind w:firstLine="0" w:firstLineChars="0"/>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3、 C户型（6套）</w:t>
      </w:r>
    </w:p>
    <w:p>
      <w:pPr>
        <w:pStyle w:val="179"/>
        <w:ind w:firstLine="241"/>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户型图：                     效果图：</w:t>
      </w:r>
    </w:p>
    <w:p>
      <w:pPr>
        <w:pStyle w:val="17"/>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drawing>
          <wp:inline distT="0" distB="0" distL="114300" distR="114300">
            <wp:extent cx="2346960" cy="1555750"/>
            <wp:effectExtent l="0" t="0" r="15240" b="6350"/>
            <wp:docPr id="47" name="图片 47"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
                    <pic:cNvPicPr>
                      <a:picLocks noChangeAspect="1"/>
                    </pic:cNvPicPr>
                  </pic:nvPicPr>
                  <pic:blipFill>
                    <a:blip r:embed="rId31"/>
                    <a:srcRect b="10909"/>
                    <a:stretch>
                      <a:fillRect/>
                    </a:stretch>
                  </pic:blipFill>
                  <pic:spPr>
                    <a:xfrm>
                      <a:off x="0" y="0"/>
                      <a:ext cx="2346960" cy="1555750"/>
                    </a:xfrm>
                    <a:prstGeom prst="rect">
                      <a:avLst/>
                    </a:prstGeom>
                  </pic:spPr>
                </pic:pic>
              </a:graphicData>
            </a:graphic>
          </wp:inline>
        </w:drawing>
      </w:r>
      <w:r>
        <w:rPr>
          <w:rFonts w:hint="eastAsia" w:ascii="仿宋" w:hAnsi="仿宋" w:eastAsia="仿宋" w:cs="仿宋"/>
          <w:b/>
          <w:color w:val="auto"/>
          <w:sz w:val="24"/>
          <w:szCs w:val="24"/>
          <w:highlight w:val="none"/>
        </w:rPr>
        <w:t xml:space="preserve">     </w:t>
      </w:r>
      <w:r>
        <w:rPr>
          <w:rFonts w:hint="eastAsia" w:ascii="仿宋" w:hAnsi="仿宋" w:eastAsia="仿宋" w:cs="仿宋"/>
          <w:b/>
          <w:color w:val="auto"/>
          <w:sz w:val="24"/>
          <w:szCs w:val="24"/>
          <w:highlight w:val="none"/>
        </w:rPr>
        <w:drawing>
          <wp:inline distT="0" distB="0" distL="114300" distR="114300">
            <wp:extent cx="2256155" cy="1268730"/>
            <wp:effectExtent l="0" t="0" r="10795" b="7620"/>
            <wp:docPr id="49" name="图片 49" descr="微信图片_20220817133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微信图片_20220817133745"/>
                    <pic:cNvPicPr>
                      <a:picLocks noChangeAspect="1"/>
                    </pic:cNvPicPr>
                  </pic:nvPicPr>
                  <pic:blipFill>
                    <a:blip r:embed="rId32"/>
                    <a:stretch>
                      <a:fillRect/>
                    </a:stretch>
                  </pic:blipFill>
                  <pic:spPr>
                    <a:xfrm>
                      <a:off x="0" y="0"/>
                      <a:ext cx="2262808" cy="1272406"/>
                    </a:xfrm>
                    <a:prstGeom prst="rect">
                      <a:avLst/>
                    </a:prstGeom>
                  </pic:spPr>
                </pic:pic>
              </a:graphicData>
            </a:graphic>
          </wp:inline>
        </w:drawing>
      </w:r>
    </w:p>
    <w:p>
      <w:pPr>
        <w:pStyle w:val="17"/>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方案图：</w:t>
      </w:r>
    </w:p>
    <w:p>
      <w:pPr>
        <w:pStyle w:val="17"/>
        <w:rPr>
          <w:rFonts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drawing>
          <wp:inline distT="0" distB="0" distL="114300" distR="114300">
            <wp:extent cx="5269230" cy="4425950"/>
            <wp:effectExtent l="0" t="0" r="7620" b="12700"/>
            <wp:docPr id="30" name="图片 30" descr="1660794219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660794219694"/>
                    <pic:cNvPicPr>
                      <a:picLocks noChangeAspect="1"/>
                    </pic:cNvPicPr>
                  </pic:nvPicPr>
                  <pic:blipFill>
                    <a:blip r:embed="rId33"/>
                    <a:stretch>
                      <a:fillRect/>
                    </a:stretch>
                  </pic:blipFill>
                  <pic:spPr>
                    <a:xfrm>
                      <a:off x="0" y="0"/>
                      <a:ext cx="5276173" cy="4431256"/>
                    </a:xfrm>
                    <a:prstGeom prst="rect">
                      <a:avLst/>
                    </a:prstGeom>
                  </pic:spPr>
                </pic:pic>
              </a:graphicData>
            </a:graphic>
          </wp:inline>
        </w:drawing>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9"/>
        <w:gridCol w:w="696"/>
        <w:gridCol w:w="2376"/>
        <w:gridCol w:w="2034"/>
        <w:gridCol w:w="3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tcPr>
          <w:p>
            <w:pPr>
              <w:pStyle w:val="179"/>
              <w:ind w:firstLine="0" w:firstLineChars="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C户型技术要求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7" w:type="pct"/>
          </w:tcPr>
          <w:p>
            <w:pPr>
              <w:pStyle w:val="179"/>
              <w:ind w:firstLine="0" w:firstLineChars="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项目</w:t>
            </w:r>
          </w:p>
        </w:tc>
        <w:tc>
          <w:tcPr>
            <w:tcW w:w="493" w:type="pct"/>
          </w:tcPr>
          <w:p>
            <w:pPr>
              <w:pStyle w:val="179"/>
              <w:ind w:firstLine="0" w:firstLineChars="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柜号</w:t>
            </w:r>
          </w:p>
        </w:tc>
        <w:tc>
          <w:tcPr>
            <w:tcW w:w="690" w:type="pct"/>
          </w:tcPr>
          <w:p>
            <w:pPr>
              <w:pStyle w:val="179"/>
              <w:ind w:firstLine="0" w:firstLineChars="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规格</w:t>
            </w:r>
          </w:p>
        </w:tc>
        <w:tc>
          <w:tcPr>
            <w:tcW w:w="1278" w:type="pct"/>
          </w:tcPr>
          <w:p>
            <w:pPr>
              <w:pStyle w:val="179"/>
              <w:ind w:firstLine="0" w:firstLineChars="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要求</w:t>
            </w:r>
          </w:p>
        </w:tc>
        <w:tc>
          <w:tcPr>
            <w:tcW w:w="1760" w:type="pct"/>
          </w:tcPr>
          <w:p>
            <w:pPr>
              <w:pStyle w:val="179"/>
              <w:ind w:firstLine="0" w:firstLineChars="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技术参考图纸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7" w:type="pct"/>
          </w:tcPr>
          <w:p>
            <w:pPr>
              <w:pStyle w:val="17"/>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分水器地柜</w:t>
            </w:r>
          </w:p>
        </w:tc>
        <w:tc>
          <w:tcPr>
            <w:tcW w:w="493"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01</w:t>
            </w:r>
          </w:p>
        </w:tc>
        <w:tc>
          <w:tcPr>
            <w:tcW w:w="690" w:type="pct"/>
          </w:tcPr>
          <w:p>
            <w:pPr>
              <w:pStyle w:val="17"/>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（宽*深*高）</w:t>
            </w:r>
          </w:p>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930mm*560mm*660mm</w:t>
            </w:r>
          </w:p>
        </w:tc>
        <w:tc>
          <w:tcPr>
            <w:tcW w:w="1278"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无背板，底板、隔板前移，底板配拉板。</w:t>
            </w:r>
          </w:p>
        </w:tc>
        <w:tc>
          <w:tcPr>
            <w:tcW w:w="1760"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drawing>
                <wp:inline distT="0" distB="0" distL="114300" distR="114300">
                  <wp:extent cx="1489075" cy="1412875"/>
                  <wp:effectExtent l="0" t="0" r="15875" b="15875"/>
                  <wp:docPr id="32" name="图片 32" descr="166078925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660789254203"/>
                          <pic:cNvPicPr>
                            <a:picLocks noChangeAspect="1"/>
                          </pic:cNvPicPr>
                        </pic:nvPicPr>
                        <pic:blipFill>
                          <a:blip r:embed="rId16"/>
                          <a:stretch>
                            <a:fillRect/>
                          </a:stretch>
                        </pic:blipFill>
                        <pic:spPr>
                          <a:xfrm>
                            <a:off x="0" y="0"/>
                            <a:ext cx="1489075" cy="14128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7"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普通开门地柜</w:t>
            </w:r>
          </w:p>
          <w:p>
            <w:pPr>
              <w:pStyle w:val="179"/>
              <w:ind w:firstLine="0" w:firstLineChars="0"/>
              <w:rPr>
                <w:rFonts w:ascii="仿宋" w:hAnsi="仿宋" w:eastAsia="仿宋" w:cs="仿宋"/>
                <w:color w:val="auto"/>
                <w:sz w:val="24"/>
                <w:szCs w:val="24"/>
                <w:highlight w:val="none"/>
              </w:rPr>
            </w:pPr>
          </w:p>
        </w:tc>
        <w:tc>
          <w:tcPr>
            <w:tcW w:w="493"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02、03</w:t>
            </w:r>
          </w:p>
        </w:tc>
        <w:tc>
          <w:tcPr>
            <w:tcW w:w="690" w:type="pct"/>
          </w:tcPr>
          <w:p>
            <w:pPr>
              <w:pStyle w:val="17"/>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（宽*深*高）</w:t>
            </w:r>
          </w:p>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650mm*560mm*660mm</w:t>
            </w:r>
          </w:p>
          <w:p>
            <w:pPr>
              <w:pStyle w:val="17"/>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380mm*560mm*660mm</w:t>
            </w:r>
          </w:p>
        </w:tc>
        <w:tc>
          <w:tcPr>
            <w:tcW w:w="1278"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配活动隔板</w:t>
            </w:r>
          </w:p>
        </w:tc>
        <w:tc>
          <w:tcPr>
            <w:tcW w:w="1760"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drawing>
                <wp:inline distT="0" distB="0" distL="114300" distR="114300">
                  <wp:extent cx="1948815" cy="1281430"/>
                  <wp:effectExtent l="0" t="0" r="13335" b="13970"/>
                  <wp:docPr id="3" name="图片 3" descr="1661853657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61853657539"/>
                          <pic:cNvPicPr>
                            <a:picLocks noChangeAspect="1"/>
                          </pic:cNvPicPr>
                        </pic:nvPicPr>
                        <pic:blipFill>
                          <a:blip r:embed="rId15"/>
                          <a:stretch>
                            <a:fillRect/>
                          </a:stretch>
                        </pic:blipFill>
                        <pic:spPr>
                          <a:xfrm>
                            <a:off x="0" y="0"/>
                            <a:ext cx="1948815" cy="12814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7"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水盆地柜</w:t>
            </w:r>
          </w:p>
        </w:tc>
        <w:tc>
          <w:tcPr>
            <w:tcW w:w="493"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04</w:t>
            </w:r>
          </w:p>
        </w:tc>
        <w:tc>
          <w:tcPr>
            <w:tcW w:w="690" w:type="pct"/>
          </w:tcPr>
          <w:p>
            <w:pPr>
              <w:pStyle w:val="17"/>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（宽*深*高）</w:t>
            </w:r>
          </w:p>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1100mm*560mm*660mm</w:t>
            </w:r>
          </w:p>
        </w:tc>
        <w:tc>
          <w:tcPr>
            <w:tcW w:w="1278"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无背板，无隔板，配防水铝箔底板、铝横梁。</w:t>
            </w:r>
          </w:p>
        </w:tc>
        <w:tc>
          <w:tcPr>
            <w:tcW w:w="1760" w:type="pct"/>
          </w:tcPr>
          <w:p>
            <w:pPr>
              <w:pStyle w:val="179"/>
              <w:ind w:firstLine="24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drawing>
                <wp:inline distT="0" distB="0" distL="114300" distR="114300">
                  <wp:extent cx="2029460" cy="1334770"/>
                  <wp:effectExtent l="0" t="0" r="8890" b="17780"/>
                  <wp:docPr id="6" name="图片 6" descr="1661853785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61853785854"/>
                          <pic:cNvPicPr>
                            <a:picLocks noChangeAspect="1"/>
                          </pic:cNvPicPr>
                        </pic:nvPicPr>
                        <pic:blipFill>
                          <a:blip r:embed="rId17"/>
                          <a:stretch>
                            <a:fillRect/>
                          </a:stretch>
                        </pic:blipFill>
                        <pic:spPr>
                          <a:xfrm>
                            <a:off x="0" y="0"/>
                            <a:ext cx="2029460" cy="13347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7"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烟机吊柜</w:t>
            </w:r>
          </w:p>
        </w:tc>
        <w:tc>
          <w:tcPr>
            <w:tcW w:w="493"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01</w:t>
            </w:r>
          </w:p>
        </w:tc>
        <w:tc>
          <w:tcPr>
            <w:tcW w:w="690" w:type="pct"/>
          </w:tcPr>
          <w:p>
            <w:pPr>
              <w:pStyle w:val="17"/>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（宽*深*高）</w:t>
            </w:r>
          </w:p>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910mm*330mm*900mm</w:t>
            </w:r>
          </w:p>
        </w:tc>
        <w:tc>
          <w:tcPr>
            <w:tcW w:w="1278"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两侧烟机补充柜，配隔板，共用门板，门板下降。</w:t>
            </w:r>
          </w:p>
        </w:tc>
        <w:tc>
          <w:tcPr>
            <w:tcW w:w="1760"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drawing>
                <wp:inline distT="0" distB="0" distL="114300" distR="114300">
                  <wp:extent cx="2028825" cy="1557020"/>
                  <wp:effectExtent l="0" t="0" r="9525" b="5080"/>
                  <wp:docPr id="44" name="图片 44" descr="1660793552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1660793552619"/>
                          <pic:cNvPicPr>
                            <a:picLocks noChangeAspect="1"/>
                          </pic:cNvPicPr>
                        </pic:nvPicPr>
                        <pic:blipFill>
                          <a:blip r:embed="rId30"/>
                          <a:stretch>
                            <a:fillRect/>
                          </a:stretch>
                        </pic:blipFill>
                        <pic:spPr>
                          <a:xfrm>
                            <a:off x="0" y="0"/>
                            <a:ext cx="2028825" cy="15570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7"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普通开门吊柜</w:t>
            </w:r>
          </w:p>
        </w:tc>
        <w:tc>
          <w:tcPr>
            <w:tcW w:w="493"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02、03</w:t>
            </w:r>
          </w:p>
        </w:tc>
        <w:tc>
          <w:tcPr>
            <w:tcW w:w="690"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（宽*深*高）250mm*330mm*900mm</w:t>
            </w:r>
          </w:p>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780mm*330mm*900mm</w:t>
            </w:r>
          </w:p>
        </w:tc>
        <w:tc>
          <w:tcPr>
            <w:tcW w:w="1278"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配活动隔板，门板下降。</w:t>
            </w:r>
          </w:p>
        </w:tc>
        <w:tc>
          <w:tcPr>
            <w:tcW w:w="1760"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drawing>
                <wp:inline distT="0" distB="0" distL="114300" distR="114300">
                  <wp:extent cx="2026920" cy="1262380"/>
                  <wp:effectExtent l="0" t="0" r="11430" b="13970"/>
                  <wp:docPr id="7" name="图片 7" descr="1661853919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61853919328"/>
                          <pic:cNvPicPr>
                            <a:picLocks noChangeAspect="1"/>
                          </pic:cNvPicPr>
                        </pic:nvPicPr>
                        <pic:blipFill>
                          <a:blip r:embed="rId28"/>
                          <a:stretch>
                            <a:fillRect/>
                          </a:stretch>
                        </pic:blipFill>
                        <pic:spPr>
                          <a:xfrm>
                            <a:off x="0" y="0"/>
                            <a:ext cx="2026920" cy="12623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7"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切角吊柜</w:t>
            </w:r>
          </w:p>
        </w:tc>
        <w:tc>
          <w:tcPr>
            <w:tcW w:w="493"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02</w:t>
            </w:r>
          </w:p>
        </w:tc>
        <w:tc>
          <w:tcPr>
            <w:tcW w:w="690" w:type="pct"/>
          </w:tcPr>
          <w:p>
            <w:pPr>
              <w:pStyle w:val="17"/>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（宽*深*高）</w:t>
            </w:r>
          </w:p>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780mm*330mm*900mm</w:t>
            </w:r>
          </w:p>
        </w:tc>
        <w:tc>
          <w:tcPr>
            <w:tcW w:w="1278"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配活动隔板，门板下降，切角包管。</w:t>
            </w:r>
          </w:p>
        </w:tc>
        <w:tc>
          <w:tcPr>
            <w:tcW w:w="1760"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drawing>
                <wp:inline distT="0" distB="0" distL="114300" distR="114300">
                  <wp:extent cx="2028825" cy="1316990"/>
                  <wp:effectExtent l="0" t="0" r="9525" b="16510"/>
                  <wp:docPr id="45" name="图片 45" descr="1660795379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660795379935"/>
                          <pic:cNvPicPr>
                            <a:picLocks noChangeAspect="1"/>
                          </pic:cNvPicPr>
                        </pic:nvPicPr>
                        <pic:blipFill>
                          <a:blip r:embed="rId34"/>
                          <a:stretch>
                            <a:fillRect/>
                          </a:stretch>
                        </pic:blipFill>
                        <pic:spPr>
                          <a:xfrm>
                            <a:off x="0" y="0"/>
                            <a:ext cx="2028825" cy="13169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7"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台面</w:t>
            </w:r>
          </w:p>
        </w:tc>
        <w:tc>
          <w:tcPr>
            <w:tcW w:w="493"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c>
          <w:tcPr>
            <w:tcW w:w="690" w:type="pct"/>
          </w:tcPr>
          <w:p>
            <w:pPr>
              <w:pStyle w:val="17"/>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（长*深）4820mm*600mm</w:t>
            </w:r>
          </w:p>
        </w:tc>
        <w:tc>
          <w:tcPr>
            <w:tcW w:w="1278"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单色石英石，（花色实物送样），厚度15mm，上翻挡水50mm，下翻下挂40mm，25mmPVC垫条垫起。</w:t>
            </w:r>
          </w:p>
        </w:tc>
        <w:tc>
          <w:tcPr>
            <w:tcW w:w="1760"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drawing>
                <wp:inline distT="0" distB="0" distL="114300" distR="114300">
                  <wp:extent cx="1837055" cy="867410"/>
                  <wp:effectExtent l="0" t="0" r="10795" b="8890"/>
                  <wp:docPr id="54" name="图片 54" descr="1660801883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1660801883952"/>
                          <pic:cNvPicPr>
                            <a:picLocks noChangeAspect="1"/>
                          </pic:cNvPicPr>
                        </pic:nvPicPr>
                        <pic:blipFill>
                          <a:blip r:embed="rId22"/>
                          <a:stretch>
                            <a:fillRect/>
                          </a:stretch>
                        </pic:blipFill>
                        <pic:spPr>
                          <a:xfrm>
                            <a:off x="0" y="0"/>
                            <a:ext cx="1837055" cy="8674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8" w:hRule="atLeast"/>
          <w:jc w:val="center"/>
        </w:trPr>
        <w:tc>
          <w:tcPr>
            <w:tcW w:w="777"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水盆</w:t>
            </w:r>
          </w:p>
        </w:tc>
        <w:tc>
          <w:tcPr>
            <w:tcW w:w="493"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c>
          <w:tcPr>
            <w:tcW w:w="690" w:type="pct"/>
          </w:tcPr>
          <w:p>
            <w:pPr>
              <w:pStyle w:val="17"/>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（宽*深*高）650mm*450mm*220 mm</w:t>
            </w:r>
          </w:p>
        </w:tc>
        <w:tc>
          <w:tcPr>
            <w:tcW w:w="1278"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304不锈钢，整体拉伸，精细圆拉丝，壁厚0.8±0.05mm，配组合下水。</w:t>
            </w:r>
          </w:p>
        </w:tc>
        <w:tc>
          <w:tcPr>
            <w:tcW w:w="1760"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drawing>
                <wp:inline distT="0" distB="0" distL="114300" distR="114300">
                  <wp:extent cx="1825625" cy="1259205"/>
                  <wp:effectExtent l="0" t="0" r="3175" b="17145"/>
                  <wp:docPr id="52" name="图片 52" descr="1660803782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1660803782699"/>
                          <pic:cNvPicPr>
                            <a:picLocks noChangeAspect="1"/>
                          </pic:cNvPicPr>
                        </pic:nvPicPr>
                        <pic:blipFill>
                          <a:blip r:embed="rId23"/>
                          <a:stretch>
                            <a:fillRect/>
                          </a:stretch>
                        </pic:blipFill>
                        <pic:spPr>
                          <a:xfrm>
                            <a:off x="0" y="0"/>
                            <a:ext cx="1825625" cy="125920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4" w:hRule="atLeast"/>
          <w:jc w:val="center"/>
        </w:trPr>
        <w:tc>
          <w:tcPr>
            <w:tcW w:w="777"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龙头</w:t>
            </w:r>
          </w:p>
        </w:tc>
        <w:tc>
          <w:tcPr>
            <w:tcW w:w="493"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c>
          <w:tcPr>
            <w:tcW w:w="690"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（高）380 mm</w:t>
            </w:r>
          </w:p>
        </w:tc>
        <w:tc>
          <w:tcPr>
            <w:tcW w:w="1278"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304不锈钢，拉丝 ，配进水软管。</w:t>
            </w:r>
          </w:p>
        </w:tc>
        <w:tc>
          <w:tcPr>
            <w:tcW w:w="1760" w:type="pct"/>
          </w:tcPr>
          <w:p>
            <w:pPr>
              <w:pStyle w:val="179"/>
              <w:ind w:firstLine="0" w:firstLineChars="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drawing>
                <wp:inline distT="0" distB="0" distL="114300" distR="114300">
                  <wp:extent cx="616585" cy="654685"/>
                  <wp:effectExtent l="0" t="0" r="12065" b="12065"/>
                  <wp:docPr id="8" name="图片 8" descr="1660804132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60804132819"/>
                          <pic:cNvPicPr>
                            <a:picLocks noChangeAspect="1"/>
                          </pic:cNvPicPr>
                        </pic:nvPicPr>
                        <pic:blipFill>
                          <a:blip r:embed="rId24"/>
                          <a:stretch>
                            <a:fillRect/>
                          </a:stretch>
                        </pic:blipFill>
                        <pic:spPr>
                          <a:xfrm>
                            <a:off x="0" y="0"/>
                            <a:ext cx="616585" cy="654685"/>
                          </a:xfrm>
                          <a:prstGeom prst="rect">
                            <a:avLst/>
                          </a:prstGeom>
                        </pic:spPr>
                      </pic:pic>
                    </a:graphicData>
                  </a:graphic>
                </wp:inline>
              </w:drawing>
            </w:r>
          </w:p>
        </w:tc>
      </w:tr>
    </w:tbl>
    <w:p>
      <w:pPr>
        <w:spacing w:after="156" w:afterLines="50"/>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（四）施工质量验收表格参考</w:t>
      </w:r>
    </w:p>
    <w:tbl>
      <w:tblPr>
        <w:tblStyle w:val="37"/>
        <w:tblW w:w="499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241"/>
        <w:gridCol w:w="562"/>
        <w:gridCol w:w="620"/>
        <w:gridCol w:w="562"/>
        <w:gridCol w:w="1747"/>
        <w:gridCol w:w="163"/>
        <w:gridCol w:w="1349"/>
        <w:gridCol w:w="1751"/>
        <w:gridCol w:w="19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5" w:hRule="atLeast"/>
          <w:jc w:val="center"/>
        </w:trPr>
        <w:tc>
          <w:tcPr>
            <w:tcW w:w="623" w:type="pct"/>
          </w:tcPr>
          <w:p>
            <w:pPr>
              <w:spacing w:before="93" w:beforeLines="3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验收子项</w:t>
            </w:r>
          </w:p>
        </w:tc>
        <w:tc>
          <w:tcPr>
            <w:tcW w:w="2511" w:type="pct"/>
            <w:gridSpan w:val="6"/>
          </w:tcPr>
          <w:p>
            <w:pPr>
              <w:spacing w:before="93" w:beforeLines="30"/>
              <w:ind w:firstLine="240" w:firstLineChars="1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标准/精度要求</w:t>
            </w:r>
          </w:p>
        </w:tc>
        <w:tc>
          <w:tcPr>
            <w:tcW w:w="879" w:type="pct"/>
          </w:tcPr>
          <w:p>
            <w:pPr>
              <w:spacing w:before="93" w:beforeLines="30"/>
              <w:ind w:firstLine="240" w:firstLineChars="1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检查方法</w:t>
            </w:r>
          </w:p>
        </w:tc>
        <w:tc>
          <w:tcPr>
            <w:tcW w:w="985" w:type="pct"/>
          </w:tcPr>
          <w:p>
            <w:pPr>
              <w:spacing w:before="93" w:beforeLines="30"/>
              <w:ind w:firstLine="240" w:firstLineChars="1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检验批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8" w:hRule="atLeast"/>
          <w:jc w:val="center"/>
        </w:trPr>
        <w:tc>
          <w:tcPr>
            <w:tcW w:w="623" w:type="pct"/>
            <w:vMerge w:val="restart"/>
            <w:vAlign w:val="center"/>
          </w:tcPr>
          <w:p>
            <w:pPr>
              <w:spacing w:before="93" w:beforeLines="3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 翘曲度</w:t>
            </w:r>
          </w:p>
        </w:tc>
        <w:tc>
          <w:tcPr>
            <w:tcW w:w="593" w:type="pct"/>
            <w:gridSpan w:val="2"/>
            <w:vMerge w:val="restart"/>
            <w:vAlign w:val="center"/>
          </w:tcPr>
          <w:p>
            <w:pPr>
              <w:spacing w:before="93" w:beforeLines="3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正视面板件</w:t>
            </w:r>
          </w:p>
        </w:tc>
        <w:tc>
          <w:tcPr>
            <w:tcW w:w="1158" w:type="pct"/>
            <w:gridSpan w:val="2"/>
            <w:vAlign w:val="center"/>
          </w:tcPr>
          <w:p>
            <w:pPr>
              <w:spacing w:before="93" w:beforeLines="3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对角长度≥1400</w:t>
            </w:r>
          </w:p>
        </w:tc>
        <w:tc>
          <w:tcPr>
            <w:tcW w:w="759" w:type="pct"/>
            <w:gridSpan w:val="2"/>
            <w:vAlign w:val="center"/>
          </w:tcPr>
          <w:p>
            <w:pPr>
              <w:spacing w:before="93" w:beforeLines="30"/>
              <w:ind w:firstLine="240" w:firstLineChars="1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≤3.0</w:t>
            </w:r>
          </w:p>
        </w:tc>
        <w:tc>
          <w:tcPr>
            <w:tcW w:w="879" w:type="pct"/>
            <w:vMerge w:val="restart"/>
            <w:vAlign w:val="center"/>
          </w:tcPr>
          <w:p>
            <w:pPr>
              <w:spacing w:before="93" w:beforeLines="3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尺量检查</w:t>
            </w:r>
          </w:p>
        </w:tc>
        <w:tc>
          <w:tcPr>
            <w:tcW w:w="985" w:type="pct"/>
            <w:vMerge w:val="restart"/>
            <w:vAlign w:val="center"/>
          </w:tcPr>
          <w:p>
            <w:pPr>
              <w:spacing w:before="93" w:beforeLines="3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工厂质量自检</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7" w:hRule="atLeast"/>
          <w:jc w:val="center"/>
        </w:trPr>
        <w:tc>
          <w:tcPr>
            <w:tcW w:w="623" w:type="pct"/>
            <w:vMerge w:val="continue"/>
            <w:vAlign w:val="center"/>
          </w:tcPr>
          <w:p>
            <w:pPr>
              <w:spacing w:before="93" w:beforeLines="30"/>
              <w:ind w:firstLine="240" w:firstLineChars="100"/>
              <w:rPr>
                <w:rFonts w:ascii="仿宋" w:hAnsi="仿宋" w:eastAsia="仿宋" w:cs="仿宋"/>
                <w:color w:val="auto"/>
                <w:sz w:val="24"/>
                <w:szCs w:val="24"/>
                <w:highlight w:val="none"/>
              </w:rPr>
            </w:pPr>
          </w:p>
        </w:tc>
        <w:tc>
          <w:tcPr>
            <w:tcW w:w="593" w:type="pct"/>
            <w:gridSpan w:val="2"/>
            <w:vMerge w:val="continue"/>
            <w:vAlign w:val="center"/>
          </w:tcPr>
          <w:p>
            <w:pPr>
              <w:spacing w:before="93" w:beforeLines="30"/>
              <w:ind w:firstLine="240" w:firstLineChars="100"/>
              <w:rPr>
                <w:rFonts w:ascii="仿宋" w:hAnsi="仿宋" w:eastAsia="仿宋" w:cs="仿宋"/>
                <w:color w:val="auto"/>
                <w:sz w:val="24"/>
                <w:szCs w:val="24"/>
                <w:highlight w:val="none"/>
              </w:rPr>
            </w:pPr>
          </w:p>
        </w:tc>
        <w:tc>
          <w:tcPr>
            <w:tcW w:w="1158" w:type="pct"/>
            <w:gridSpan w:val="2"/>
            <w:vAlign w:val="center"/>
          </w:tcPr>
          <w:p>
            <w:pPr>
              <w:spacing w:before="93" w:beforeLines="3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700≤对角长度＜1400</w:t>
            </w:r>
          </w:p>
        </w:tc>
        <w:tc>
          <w:tcPr>
            <w:tcW w:w="759" w:type="pct"/>
            <w:gridSpan w:val="2"/>
          </w:tcPr>
          <w:p>
            <w:pPr>
              <w:spacing w:before="93" w:beforeLines="30"/>
              <w:ind w:firstLine="240" w:firstLineChars="1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≤2.0</w:t>
            </w:r>
          </w:p>
        </w:tc>
        <w:tc>
          <w:tcPr>
            <w:tcW w:w="879" w:type="pct"/>
            <w:vMerge w:val="continue"/>
            <w:vAlign w:val="center"/>
          </w:tcPr>
          <w:p>
            <w:pPr>
              <w:spacing w:before="93" w:beforeLines="30"/>
              <w:ind w:firstLine="240" w:firstLineChars="100"/>
              <w:rPr>
                <w:rFonts w:ascii="仿宋" w:hAnsi="仿宋" w:eastAsia="仿宋" w:cs="仿宋"/>
                <w:color w:val="auto"/>
                <w:sz w:val="24"/>
                <w:szCs w:val="24"/>
                <w:highlight w:val="none"/>
              </w:rPr>
            </w:pPr>
          </w:p>
        </w:tc>
        <w:tc>
          <w:tcPr>
            <w:tcW w:w="985" w:type="pct"/>
            <w:vMerge w:val="continue"/>
            <w:vAlign w:val="center"/>
          </w:tcPr>
          <w:p>
            <w:pPr>
              <w:spacing w:before="93" w:beforeLines="30"/>
              <w:ind w:firstLine="240" w:firstLineChars="100"/>
              <w:rPr>
                <w:rFonts w:ascii="仿宋" w:hAnsi="仿宋" w:eastAsia="仿宋" w:cs="仿宋"/>
                <w:color w:val="auto"/>
                <w:sz w:val="24"/>
                <w:szCs w:val="24"/>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7" w:hRule="atLeast"/>
          <w:jc w:val="center"/>
        </w:trPr>
        <w:tc>
          <w:tcPr>
            <w:tcW w:w="623" w:type="pct"/>
            <w:vMerge w:val="continue"/>
            <w:vAlign w:val="center"/>
          </w:tcPr>
          <w:p>
            <w:pPr>
              <w:spacing w:before="93" w:beforeLines="30"/>
              <w:ind w:firstLine="240" w:firstLineChars="100"/>
              <w:rPr>
                <w:rFonts w:ascii="仿宋" w:hAnsi="仿宋" w:eastAsia="仿宋" w:cs="仿宋"/>
                <w:color w:val="auto"/>
                <w:sz w:val="24"/>
                <w:szCs w:val="24"/>
                <w:highlight w:val="none"/>
              </w:rPr>
            </w:pPr>
          </w:p>
        </w:tc>
        <w:tc>
          <w:tcPr>
            <w:tcW w:w="593" w:type="pct"/>
            <w:gridSpan w:val="2"/>
            <w:vMerge w:val="continue"/>
            <w:vAlign w:val="center"/>
          </w:tcPr>
          <w:p>
            <w:pPr>
              <w:spacing w:before="93" w:beforeLines="30"/>
              <w:ind w:firstLine="240" w:firstLineChars="100"/>
              <w:rPr>
                <w:rFonts w:ascii="仿宋" w:hAnsi="仿宋" w:eastAsia="仿宋" w:cs="仿宋"/>
                <w:color w:val="auto"/>
                <w:sz w:val="24"/>
                <w:szCs w:val="24"/>
                <w:highlight w:val="none"/>
              </w:rPr>
            </w:pPr>
          </w:p>
        </w:tc>
        <w:tc>
          <w:tcPr>
            <w:tcW w:w="1158" w:type="pct"/>
            <w:gridSpan w:val="2"/>
            <w:vAlign w:val="center"/>
          </w:tcPr>
          <w:p>
            <w:pPr>
              <w:spacing w:before="93" w:beforeLines="3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700＜对角长度</w:t>
            </w:r>
          </w:p>
        </w:tc>
        <w:tc>
          <w:tcPr>
            <w:tcW w:w="759" w:type="pct"/>
            <w:gridSpan w:val="2"/>
          </w:tcPr>
          <w:p>
            <w:pPr>
              <w:spacing w:before="93" w:beforeLines="30"/>
              <w:ind w:firstLine="240" w:firstLineChars="1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≤1.0</w:t>
            </w:r>
          </w:p>
        </w:tc>
        <w:tc>
          <w:tcPr>
            <w:tcW w:w="879" w:type="pct"/>
            <w:vMerge w:val="continue"/>
            <w:vAlign w:val="center"/>
          </w:tcPr>
          <w:p>
            <w:pPr>
              <w:spacing w:before="93" w:beforeLines="30"/>
              <w:ind w:firstLine="240" w:firstLineChars="100"/>
              <w:rPr>
                <w:rFonts w:ascii="仿宋" w:hAnsi="仿宋" w:eastAsia="仿宋" w:cs="仿宋"/>
                <w:color w:val="auto"/>
                <w:sz w:val="24"/>
                <w:szCs w:val="24"/>
                <w:highlight w:val="none"/>
              </w:rPr>
            </w:pPr>
          </w:p>
        </w:tc>
        <w:tc>
          <w:tcPr>
            <w:tcW w:w="985" w:type="pct"/>
            <w:vMerge w:val="continue"/>
            <w:vAlign w:val="center"/>
          </w:tcPr>
          <w:p>
            <w:pPr>
              <w:spacing w:before="93" w:beforeLines="30"/>
              <w:ind w:firstLine="240" w:firstLineChars="100"/>
              <w:rPr>
                <w:rFonts w:ascii="仿宋" w:hAnsi="仿宋" w:eastAsia="仿宋" w:cs="仿宋"/>
                <w:color w:val="auto"/>
                <w:sz w:val="24"/>
                <w:szCs w:val="24"/>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7" w:hRule="atLeast"/>
          <w:jc w:val="center"/>
        </w:trPr>
        <w:tc>
          <w:tcPr>
            <w:tcW w:w="623" w:type="pct"/>
            <w:vAlign w:val="center"/>
          </w:tcPr>
          <w:p>
            <w:pPr>
              <w:spacing w:before="93" w:beforeLines="3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32 底脚平稳性</w:t>
            </w:r>
          </w:p>
        </w:tc>
        <w:tc>
          <w:tcPr>
            <w:tcW w:w="1752" w:type="pct"/>
            <w:gridSpan w:val="4"/>
            <w:vAlign w:val="center"/>
          </w:tcPr>
          <w:p>
            <w:pPr>
              <w:spacing w:before="93" w:beforeLines="3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底脚着地平稳性*(*：固定不可调底脚做此项检测，可调脚不需此项检测。)</w:t>
            </w:r>
          </w:p>
        </w:tc>
        <w:tc>
          <w:tcPr>
            <w:tcW w:w="759" w:type="pct"/>
            <w:gridSpan w:val="2"/>
            <w:vAlign w:val="center"/>
          </w:tcPr>
          <w:p>
            <w:pPr>
              <w:spacing w:before="93" w:beforeLines="30"/>
              <w:ind w:firstLine="240" w:firstLineChars="1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≤0.5</w:t>
            </w:r>
          </w:p>
        </w:tc>
        <w:tc>
          <w:tcPr>
            <w:tcW w:w="879" w:type="pct"/>
            <w:vAlign w:val="center"/>
          </w:tcPr>
          <w:p>
            <w:pPr>
              <w:spacing w:before="93" w:beforeLines="3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尺量检查</w:t>
            </w:r>
          </w:p>
        </w:tc>
        <w:tc>
          <w:tcPr>
            <w:tcW w:w="985" w:type="pct"/>
            <w:vAlign w:val="center"/>
          </w:tcPr>
          <w:p>
            <w:pPr>
              <w:spacing w:before="93" w:beforeLines="3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工厂质量自检</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7" w:hRule="atLeast"/>
          <w:jc w:val="center"/>
        </w:trPr>
        <w:tc>
          <w:tcPr>
            <w:tcW w:w="623" w:type="pct"/>
            <w:vAlign w:val="center"/>
          </w:tcPr>
          <w:p>
            <w:pPr>
              <w:spacing w:before="93" w:beforeLines="3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 平整度</w:t>
            </w:r>
          </w:p>
        </w:tc>
        <w:tc>
          <w:tcPr>
            <w:tcW w:w="2511" w:type="pct"/>
            <w:gridSpan w:val="6"/>
            <w:vAlign w:val="center"/>
          </w:tcPr>
          <w:p>
            <w:pPr>
              <w:spacing w:before="93" w:beforeLines="3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允许偏差3㎜</w:t>
            </w:r>
          </w:p>
        </w:tc>
        <w:tc>
          <w:tcPr>
            <w:tcW w:w="879" w:type="pct"/>
            <w:vAlign w:val="center"/>
          </w:tcPr>
          <w:p>
            <w:pPr>
              <w:spacing w:before="93" w:beforeLines="3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尺量检查</w:t>
            </w:r>
          </w:p>
        </w:tc>
        <w:tc>
          <w:tcPr>
            <w:tcW w:w="985" w:type="pct"/>
            <w:vAlign w:val="center"/>
          </w:tcPr>
          <w:p>
            <w:pPr>
              <w:spacing w:before="93" w:beforeLines="3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每3延长米抽查2个点（工厂质量自检）</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7" w:hRule="atLeast"/>
          <w:jc w:val="center"/>
        </w:trPr>
        <w:tc>
          <w:tcPr>
            <w:tcW w:w="623" w:type="pct"/>
            <w:vMerge w:val="restart"/>
            <w:vAlign w:val="center"/>
          </w:tcPr>
          <w:p>
            <w:pPr>
              <w:spacing w:before="93" w:beforeLines="3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4 分缝</w:t>
            </w:r>
          </w:p>
        </w:tc>
        <w:tc>
          <w:tcPr>
            <w:tcW w:w="282" w:type="pct"/>
            <w:vMerge w:val="restart"/>
            <w:vAlign w:val="center"/>
          </w:tcPr>
          <w:p>
            <w:pPr>
              <w:spacing w:before="93" w:beforeLines="3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平开柜门</w:t>
            </w:r>
          </w:p>
        </w:tc>
        <w:tc>
          <w:tcPr>
            <w:tcW w:w="593" w:type="pct"/>
            <w:gridSpan w:val="2"/>
            <w:vMerge w:val="restart"/>
            <w:vAlign w:val="center"/>
          </w:tcPr>
          <w:p>
            <w:pPr>
              <w:spacing w:before="93" w:beforeLines="3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嵌装式</w:t>
            </w:r>
          </w:p>
        </w:tc>
        <w:tc>
          <w:tcPr>
            <w:tcW w:w="958" w:type="pct"/>
            <w:gridSpan w:val="2"/>
          </w:tcPr>
          <w:p>
            <w:pPr>
              <w:spacing w:before="93" w:beforeLines="3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上、左、右分缝</w:t>
            </w:r>
          </w:p>
        </w:tc>
        <w:tc>
          <w:tcPr>
            <w:tcW w:w="676" w:type="pct"/>
          </w:tcPr>
          <w:p>
            <w:pPr>
              <w:spacing w:before="93" w:beforeLines="30"/>
              <w:ind w:firstLine="240" w:firstLineChars="1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≤1.5</w:t>
            </w:r>
          </w:p>
        </w:tc>
        <w:tc>
          <w:tcPr>
            <w:tcW w:w="879" w:type="pct"/>
            <w:vMerge w:val="restart"/>
            <w:vAlign w:val="center"/>
          </w:tcPr>
          <w:p>
            <w:pPr>
              <w:spacing w:before="93" w:beforeLines="3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尺量检查</w:t>
            </w:r>
          </w:p>
        </w:tc>
        <w:tc>
          <w:tcPr>
            <w:tcW w:w="985" w:type="pct"/>
            <w:vMerge w:val="restart"/>
            <w:vAlign w:val="center"/>
          </w:tcPr>
          <w:p>
            <w:pPr>
              <w:spacing w:before="93" w:beforeLines="3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工厂质量自检</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72" w:hRule="atLeast"/>
          <w:jc w:val="center"/>
        </w:trPr>
        <w:tc>
          <w:tcPr>
            <w:tcW w:w="623" w:type="pct"/>
            <w:vMerge w:val="continue"/>
            <w:vAlign w:val="center"/>
          </w:tcPr>
          <w:p>
            <w:pPr>
              <w:spacing w:before="93" w:beforeLines="30"/>
              <w:ind w:firstLine="240" w:firstLineChars="100"/>
              <w:rPr>
                <w:rFonts w:ascii="仿宋" w:hAnsi="仿宋" w:eastAsia="仿宋" w:cs="仿宋"/>
                <w:color w:val="auto"/>
                <w:sz w:val="24"/>
                <w:szCs w:val="24"/>
                <w:highlight w:val="none"/>
              </w:rPr>
            </w:pPr>
          </w:p>
        </w:tc>
        <w:tc>
          <w:tcPr>
            <w:tcW w:w="282" w:type="pct"/>
            <w:vMerge w:val="continue"/>
            <w:vAlign w:val="center"/>
          </w:tcPr>
          <w:p>
            <w:pPr>
              <w:spacing w:before="93" w:beforeLines="30"/>
              <w:ind w:firstLine="240" w:firstLineChars="100"/>
              <w:rPr>
                <w:rFonts w:ascii="仿宋" w:hAnsi="仿宋" w:eastAsia="仿宋" w:cs="仿宋"/>
                <w:color w:val="auto"/>
                <w:sz w:val="24"/>
                <w:szCs w:val="24"/>
                <w:highlight w:val="none"/>
              </w:rPr>
            </w:pPr>
          </w:p>
        </w:tc>
        <w:tc>
          <w:tcPr>
            <w:tcW w:w="593" w:type="pct"/>
            <w:gridSpan w:val="2"/>
            <w:vMerge w:val="continue"/>
            <w:vAlign w:val="center"/>
          </w:tcPr>
          <w:p>
            <w:pPr>
              <w:spacing w:before="93" w:beforeLines="30"/>
              <w:ind w:firstLine="240" w:firstLineChars="100"/>
              <w:rPr>
                <w:rFonts w:ascii="仿宋" w:hAnsi="仿宋" w:eastAsia="仿宋" w:cs="仿宋"/>
                <w:color w:val="auto"/>
                <w:sz w:val="24"/>
                <w:szCs w:val="24"/>
                <w:highlight w:val="none"/>
              </w:rPr>
            </w:pPr>
          </w:p>
        </w:tc>
        <w:tc>
          <w:tcPr>
            <w:tcW w:w="958" w:type="pct"/>
            <w:gridSpan w:val="2"/>
            <w:vAlign w:val="center"/>
          </w:tcPr>
          <w:p>
            <w:pPr>
              <w:spacing w:before="93" w:beforeLines="3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下、中分缝</w:t>
            </w:r>
          </w:p>
        </w:tc>
        <w:tc>
          <w:tcPr>
            <w:tcW w:w="676" w:type="pct"/>
            <w:vAlign w:val="center"/>
          </w:tcPr>
          <w:p>
            <w:pPr>
              <w:spacing w:before="93" w:beforeLines="30"/>
              <w:ind w:firstLine="240" w:firstLineChars="1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≤2.0</w:t>
            </w:r>
          </w:p>
        </w:tc>
        <w:tc>
          <w:tcPr>
            <w:tcW w:w="879" w:type="pct"/>
            <w:vMerge w:val="continue"/>
            <w:vAlign w:val="center"/>
          </w:tcPr>
          <w:p>
            <w:pPr>
              <w:spacing w:before="93" w:beforeLines="30"/>
              <w:ind w:firstLine="240" w:firstLineChars="100"/>
              <w:rPr>
                <w:rFonts w:ascii="仿宋" w:hAnsi="仿宋" w:eastAsia="仿宋" w:cs="仿宋"/>
                <w:color w:val="auto"/>
                <w:sz w:val="24"/>
                <w:szCs w:val="24"/>
                <w:highlight w:val="none"/>
              </w:rPr>
            </w:pPr>
          </w:p>
        </w:tc>
        <w:tc>
          <w:tcPr>
            <w:tcW w:w="985" w:type="pct"/>
            <w:vMerge w:val="continue"/>
            <w:vAlign w:val="center"/>
          </w:tcPr>
          <w:p>
            <w:pPr>
              <w:spacing w:before="93" w:beforeLines="30"/>
              <w:ind w:firstLine="240" w:firstLineChars="100"/>
              <w:rPr>
                <w:rFonts w:ascii="仿宋" w:hAnsi="仿宋" w:eastAsia="仿宋" w:cs="仿宋"/>
                <w:color w:val="auto"/>
                <w:sz w:val="24"/>
                <w:szCs w:val="24"/>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7" w:hRule="atLeast"/>
          <w:jc w:val="center"/>
        </w:trPr>
        <w:tc>
          <w:tcPr>
            <w:tcW w:w="623" w:type="pct"/>
            <w:vMerge w:val="continue"/>
            <w:vAlign w:val="center"/>
          </w:tcPr>
          <w:p>
            <w:pPr>
              <w:spacing w:before="93" w:beforeLines="30"/>
              <w:ind w:firstLine="240" w:firstLineChars="100"/>
              <w:rPr>
                <w:rFonts w:ascii="仿宋" w:hAnsi="仿宋" w:eastAsia="仿宋" w:cs="仿宋"/>
                <w:color w:val="auto"/>
                <w:sz w:val="24"/>
                <w:szCs w:val="24"/>
                <w:highlight w:val="none"/>
              </w:rPr>
            </w:pPr>
          </w:p>
        </w:tc>
        <w:tc>
          <w:tcPr>
            <w:tcW w:w="282" w:type="pct"/>
            <w:vAlign w:val="center"/>
          </w:tcPr>
          <w:p>
            <w:pPr>
              <w:spacing w:before="93" w:beforeLines="3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抽屉</w:t>
            </w:r>
          </w:p>
        </w:tc>
        <w:tc>
          <w:tcPr>
            <w:tcW w:w="593" w:type="pct"/>
            <w:gridSpan w:val="2"/>
            <w:vAlign w:val="center"/>
          </w:tcPr>
          <w:p>
            <w:pPr>
              <w:spacing w:before="93" w:beforeLines="3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嵌装式</w:t>
            </w:r>
          </w:p>
        </w:tc>
        <w:tc>
          <w:tcPr>
            <w:tcW w:w="958" w:type="pct"/>
            <w:gridSpan w:val="2"/>
          </w:tcPr>
          <w:p>
            <w:pPr>
              <w:spacing w:before="93" w:beforeLines="3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上、左、右分缝</w:t>
            </w:r>
          </w:p>
        </w:tc>
        <w:tc>
          <w:tcPr>
            <w:tcW w:w="676" w:type="pct"/>
          </w:tcPr>
          <w:p>
            <w:pPr>
              <w:spacing w:before="93" w:beforeLines="30"/>
              <w:ind w:firstLine="240" w:firstLineChars="1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≤2.5</w:t>
            </w:r>
          </w:p>
        </w:tc>
        <w:tc>
          <w:tcPr>
            <w:tcW w:w="879" w:type="pct"/>
            <w:vMerge w:val="continue"/>
            <w:vAlign w:val="center"/>
          </w:tcPr>
          <w:p>
            <w:pPr>
              <w:spacing w:before="93" w:beforeLines="30"/>
              <w:ind w:firstLine="240" w:firstLineChars="100"/>
              <w:rPr>
                <w:rFonts w:ascii="仿宋" w:hAnsi="仿宋" w:eastAsia="仿宋" w:cs="仿宋"/>
                <w:color w:val="auto"/>
                <w:sz w:val="24"/>
                <w:szCs w:val="24"/>
                <w:highlight w:val="none"/>
              </w:rPr>
            </w:pPr>
          </w:p>
        </w:tc>
        <w:tc>
          <w:tcPr>
            <w:tcW w:w="985" w:type="pct"/>
            <w:vMerge w:val="continue"/>
            <w:vAlign w:val="center"/>
          </w:tcPr>
          <w:p>
            <w:pPr>
              <w:spacing w:before="93" w:beforeLines="30"/>
              <w:ind w:firstLine="240" w:firstLineChars="100"/>
              <w:rPr>
                <w:rFonts w:ascii="仿宋" w:hAnsi="仿宋" w:eastAsia="仿宋" w:cs="仿宋"/>
                <w:color w:val="auto"/>
                <w:sz w:val="24"/>
                <w:szCs w:val="24"/>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7" w:hRule="atLeast"/>
          <w:jc w:val="center"/>
        </w:trPr>
        <w:tc>
          <w:tcPr>
            <w:tcW w:w="623" w:type="pct"/>
            <w:vMerge w:val="restart"/>
            <w:vAlign w:val="center"/>
          </w:tcPr>
          <w:p>
            <w:pPr>
              <w:spacing w:before="93" w:beforeLines="3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5 下垂度、摆动度</w:t>
            </w:r>
          </w:p>
        </w:tc>
        <w:tc>
          <w:tcPr>
            <w:tcW w:w="282" w:type="pct"/>
            <w:vAlign w:val="center"/>
          </w:tcPr>
          <w:p>
            <w:pPr>
              <w:spacing w:before="93" w:beforeLines="3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抽屉</w:t>
            </w:r>
          </w:p>
        </w:tc>
        <w:tc>
          <w:tcPr>
            <w:tcW w:w="1552" w:type="pct"/>
            <w:gridSpan w:val="4"/>
            <w:vAlign w:val="center"/>
          </w:tcPr>
          <w:p>
            <w:pPr>
              <w:spacing w:before="93" w:beforeLines="3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下垂</w:t>
            </w:r>
          </w:p>
        </w:tc>
        <w:tc>
          <w:tcPr>
            <w:tcW w:w="676" w:type="pct"/>
            <w:vAlign w:val="center"/>
          </w:tcPr>
          <w:p>
            <w:pPr>
              <w:spacing w:before="93" w:beforeLines="30"/>
              <w:ind w:firstLine="240" w:firstLineChars="1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≤15</w:t>
            </w:r>
          </w:p>
        </w:tc>
        <w:tc>
          <w:tcPr>
            <w:tcW w:w="879" w:type="pct"/>
            <w:vMerge w:val="restart"/>
            <w:vAlign w:val="center"/>
          </w:tcPr>
          <w:p>
            <w:pPr>
              <w:spacing w:before="93" w:beforeLines="3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尺量检查</w:t>
            </w:r>
          </w:p>
        </w:tc>
        <w:tc>
          <w:tcPr>
            <w:tcW w:w="985" w:type="pct"/>
            <w:vMerge w:val="restart"/>
            <w:vAlign w:val="center"/>
          </w:tcPr>
          <w:p>
            <w:pPr>
              <w:spacing w:before="93" w:beforeLines="3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工厂质量自检</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7" w:hRule="atLeast"/>
          <w:jc w:val="center"/>
        </w:trPr>
        <w:tc>
          <w:tcPr>
            <w:tcW w:w="623" w:type="pct"/>
            <w:vMerge w:val="continue"/>
            <w:vAlign w:val="center"/>
          </w:tcPr>
          <w:p>
            <w:pPr>
              <w:spacing w:before="93" w:beforeLines="30"/>
              <w:ind w:firstLine="240" w:firstLineChars="100"/>
              <w:rPr>
                <w:rFonts w:ascii="仿宋" w:hAnsi="仿宋" w:eastAsia="仿宋" w:cs="仿宋"/>
                <w:color w:val="auto"/>
                <w:sz w:val="24"/>
                <w:szCs w:val="24"/>
                <w:highlight w:val="none"/>
              </w:rPr>
            </w:pPr>
          </w:p>
        </w:tc>
        <w:tc>
          <w:tcPr>
            <w:tcW w:w="282" w:type="pct"/>
            <w:vAlign w:val="center"/>
          </w:tcPr>
          <w:p>
            <w:pPr>
              <w:spacing w:before="93" w:beforeLines="30"/>
              <w:ind w:firstLine="240" w:firstLineChars="1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　</w:t>
            </w:r>
          </w:p>
        </w:tc>
        <w:tc>
          <w:tcPr>
            <w:tcW w:w="1552" w:type="pct"/>
            <w:gridSpan w:val="4"/>
          </w:tcPr>
          <w:p>
            <w:pPr>
              <w:spacing w:before="93" w:beforeLines="3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摆动</w:t>
            </w:r>
          </w:p>
        </w:tc>
        <w:tc>
          <w:tcPr>
            <w:tcW w:w="676" w:type="pct"/>
          </w:tcPr>
          <w:p>
            <w:pPr>
              <w:spacing w:before="93" w:beforeLines="30"/>
              <w:ind w:firstLine="240" w:firstLineChars="1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≤15</w:t>
            </w:r>
          </w:p>
        </w:tc>
        <w:tc>
          <w:tcPr>
            <w:tcW w:w="879" w:type="pct"/>
            <w:vMerge w:val="continue"/>
            <w:vAlign w:val="center"/>
          </w:tcPr>
          <w:p>
            <w:pPr>
              <w:spacing w:before="93" w:beforeLines="30"/>
              <w:ind w:firstLine="240" w:firstLineChars="100"/>
              <w:rPr>
                <w:rFonts w:ascii="仿宋" w:hAnsi="仿宋" w:eastAsia="仿宋" w:cs="仿宋"/>
                <w:color w:val="auto"/>
                <w:sz w:val="24"/>
                <w:szCs w:val="24"/>
                <w:highlight w:val="none"/>
              </w:rPr>
            </w:pPr>
          </w:p>
        </w:tc>
        <w:tc>
          <w:tcPr>
            <w:tcW w:w="985" w:type="pct"/>
            <w:vMerge w:val="continue"/>
            <w:vAlign w:val="center"/>
          </w:tcPr>
          <w:p>
            <w:pPr>
              <w:spacing w:before="93" w:beforeLines="30"/>
              <w:ind w:firstLine="240" w:firstLineChars="100"/>
              <w:rPr>
                <w:rFonts w:ascii="仿宋" w:hAnsi="仿宋" w:eastAsia="仿宋" w:cs="仿宋"/>
                <w:color w:val="auto"/>
                <w:sz w:val="24"/>
                <w:szCs w:val="24"/>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7" w:hRule="atLeast"/>
          <w:jc w:val="center"/>
        </w:trPr>
        <w:tc>
          <w:tcPr>
            <w:tcW w:w="623" w:type="pct"/>
            <w:vAlign w:val="center"/>
          </w:tcPr>
          <w:p>
            <w:pPr>
              <w:spacing w:before="93" w:beforeLines="3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6 抽屉或平开柜门开启</w:t>
            </w:r>
          </w:p>
        </w:tc>
        <w:tc>
          <w:tcPr>
            <w:tcW w:w="2511" w:type="pct"/>
            <w:gridSpan w:val="6"/>
            <w:vAlign w:val="center"/>
          </w:tcPr>
          <w:p>
            <w:pPr>
              <w:spacing w:before="93" w:beforeLines="3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抽屉和柜门开关灵活、无异响、回位正确</w:t>
            </w:r>
          </w:p>
        </w:tc>
        <w:tc>
          <w:tcPr>
            <w:tcW w:w="879" w:type="pct"/>
            <w:vAlign w:val="center"/>
          </w:tcPr>
          <w:p>
            <w:pPr>
              <w:spacing w:before="93" w:beforeLines="3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观察、手扳检查</w:t>
            </w:r>
          </w:p>
        </w:tc>
        <w:tc>
          <w:tcPr>
            <w:tcW w:w="985" w:type="pct"/>
            <w:vAlign w:val="center"/>
          </w:tcPr>
          <w:p>
            <w:pPr>
              <w:spacing w:before="93" w:beforeLines="3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工厂质量自检</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7" w:hRule="atLeast"/>
          <w:jc w:val="center"/>
        </w:trPr>
        <w:tc>
          <w:tcPr>
            <w:tcW w:w="623" w:type="pct"/>
            <w:vAlign w:val="center"/>
          </w:tcPr>
          <w:p>
            <w:pPr>
              <w:spacing w:before="93" w:beforeLines="3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7五金配件</w:t>
            </w:r>
          </w:p>
        </w:tc>
        <w:tc>
          <w:tcPr>
            <w:tcW w:w="2511" w:type="pct"/>
            <w:gridSpan w:val="6"/>
            <w:vAlign w:val="center"/>
          </w:tcPr>
          <w:p>
            <w:pPr>
              <w:spacing w:before="93" w:beforeLines="3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小五金安装齐全、牢固、位置正确，表面无锈蚀，花斑、污染</w:t>
            </w:r>
          </w:p>
        </w:tc>
        <w:tc>
          <w:tcPr>
            <w:tcW w:w="879" w:type="pct"/>
            <w:vAlign w:val="center"/>
          </w:tcPr>
          <w:p>
            <w:pPr>
              <w:spacing w:before="93" w:beforeLines="3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观察、手扳检查</w:t>
            </w:r>
          </w:p>
        </w:tc>
        <w:tc>
          <w:tcPr>
            <w:tcW w:w="985" w:type="pct"/>
            <w:vAlign w:val="center"/>
          </w:tcPr>
          <w:p>
            <w:pPr>
              <w:spacing w:before="93" w:beforeLines="3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工厂质量自检</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7" w:hRule="atLeast"/>
          <w:jc w:val="center"/>
        </w:trPr>
        <w:tc>
          <w:tcPr>
            <w:tcW w:w="623" w:type="pct"/>
            <w:vAlign w:val="center"/>
          </w:tcPr>
          <w:p>
            <w:pPr>
              <w:spacing w:before="93" w:beforeLines="3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8 石英石台面安装</w:t>
            </w:r>
          </w:p>
        </w:tc>
        <w:tc>
          <w:tcPr>
            <w:tcW w:w="2511" w:type="pct"/>
            <w:gridSpan w:val="6"/>
            <w:vAlign w:val="center"/>
          </w:tcPr>
          <w:p>
            <w:pPr>
              <w:spacing w:before="93" w:beforeLines="3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台面洁净、平整、无翘曲，无污染，四边打磨光滑，无缺口，前后做反沿效果。</w:t>
            </w:r>
          </w:p>
        </w:tc>
        <w:tc>
          <w:tcPr>
            <w:tcW w:w="879" w:type="pct"/>
            <w:vAlign w:val="center"/>
          </w:tcPr>
          <w:p>
            <w:pPr>
              <w:spacing w:before="93" w:beforeLines="3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观察</w:t>
            </w:r>
          </w:p>
        </w:tc>
        <w:tc>
          <w:tcPr>
            <w:tcW w:w="985" w:type="pct"/>
            <w:vAlign w:val="center"/>
          </w:tcPr>
          <w:p>
            <w:pPr>
              <w:spacing w:before="93" w:beforeLines="3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工厂质量自检</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7" w:hRule="atLeast"/>
          <w:jc w:val="center"/>
        </w:trPr>
        <w:tc>
          <w:tcPr>
            <w:tcW w:w="623" w:type="pct"/>
            <w:vAlign w:val="center"/>
          </w:tcPr>
          <w:p>
            <w:pPr>
              <w:spacing w:before="93" w:beforeLines="3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9观感质量</w:t>
            </w:r>
          </w:p>
        </w:tc>
        <w:tc>
          <w:tcPr>
            <w:tcW w:w="2511" w:type="pct"/>
            <w:gridSpan w:val="6"/>
            <w:vAlign w:val="center"/>
          </w:tcPr>
          <w:p>
            <w:pPr>
              <w:spacing w:before="93" w:beforeLines="3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表面光滑，棱角整齐，无毛刺和锤印; 有花纹面层板应做到花纹一致; 贴面材料应平整牢固，不得脱胶，边角处不起翘。衣柜与其他材料交界面密封胶应粘结牢固，表面应圆弧光滑、边缘整齐</w:t>
            </w:r>
          </w:p>
        </w:tc>
        <w:tc>
          <w:tcPr>
            <w:tcW w:w="879" w:type="pct"/>
            <w:vAlign w:val="center"/>
          </w:tcPr>
          <w:p>
            <w:pPr>
              <w:spacing w:before="93" w:beforeLines="3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观察</w:t>
            </w:r>
          </w:p>
        </w:tc>
        <w:tc>
          <w:tcPr>
            <w:tcW w:w="985" w:type="pct"/>
            <w:vAlign w:val="center"/>
          </w:tcPr>
          <w:p>
            <w:pPr>
              <w:spacing w:before="93" w:beforeLines="3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工厂质量自检</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7" w:hRule="atLeast"/>
          <w:jc w:val="center"/>
        </w:trPr>
        <w:tc>
          <w:tcPr>
            <w:tcW w:w="623" w:type="pct"/>
            <w:vAlign w:val="center"/>
          </w:tcPr>
          <w:p>
            <w:pPr>
              <w:spacing w:before="93" w:beforeLines="3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10调整脚</w:t>
            </w:r>
          </w:p>
        </w:tc>
        <w:tc>
          <w:tcPr>
            <w:tcW w:w="2511" w:type="pct"/>
            <w:gridSpan w:val="6"/>
            <w:vAlign w:val="center"/>
          </w:tcPr>
          <w:p>
            <w:pPr>
              <w:spacing w:before="93" w:beforeLines="3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表面不得有凹痕、断牙等缺陷，塑料表面不应有溢料、缩痕、溶接痕等缺陷</w:t>
            </w:r>
          </w:p>
        </w:tc>
        <w:tc>
          <w:tcPr>
            <w:tcW w:w="879" w:type="pct"/>
            <w:vAlign w:val="center"/>
          </w:tcPr>
          <w:p>
            <w:pPr>
              <w:spacing w:before="93" w:beforeLines="3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观察</w:t>
            </w:r>
          </w:p>
        </w:tc>
        <w:tc>
          <w:tcPr>
            <w:tcW w:w="985" w:type="pct"/>
            <w:vAlign w:val="center"/>
          </w:tcPr>
          <w:p>
            <w:pPr>
              <w:spacing w:before="93" w:beforeLines="3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工厂质量自检</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7" w:hRule="atLeast"/>
          <w:jc w:val="center"/>
        </w:trPr>
        <w:tc>
          <w:tcPr>
            <w:tcW w:w="623" w:type="pct"/>
            <w:vAlign w:val="center"/>
          </w:tcPr>
          <w:p>
            <w:pPr>
              <w:spacing w:before="93" w:beforeLines="3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11硅酮胶</w:t>
            </w:r>
          </w:p>
        </w:tc>
        <w:tc>
          <w:tcPr>
            <w:tcW w:w="2511" w:type="pct"/>
            <w:gridSpan w:val="6"/>
            <w:vAlign w:val="center"/>
          </w:tcPr>
          <w:p>
            <w:pPr>
              <w:spacing w:before="93" w:beforeLines="3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台面与墙面瓷砖接封处使用中性白色硅酮胶收口，硅酮胶要求较好的耐老化性能，打胶要求饱满、光滑、均匀。</w:t>
            </w:r>
          </w:p>
        </w:tc>
        <w:tc>
          <w:tcPr>
            <w:tcW w:w="879" w:type="pct"/>
            <w:vAlign w:val="center"/>
          </w:tcPr>
          <w:p>
            <w:pPr>
              <w:spacing w:before="93" w:beforeLines="3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观察</w:t>
            </w:r>
          </w:p>
        </w:tc>
        <w:tc>
          <w:tcPr>
            <w:tcW w:w="985" w:type="pct"/>
            <w:vAlign w:val="center"/>
          </w:tcPr>
          <w:p>
            <w:pPr>
              <w:spacing w:before="93" w:beforeLines="3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工厂质量自检</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7" w:hRule="atLeast"/>
          <w:jc w:val="center"/>
        </w:trPr>
        <w:tc>
          <w:tcPr>
            <w:tcW w:w="623" w:type="pct"/>
            <w:vAlign w:val="center"/>
          </w:tcPr>
          <w:p>
            <w:pPr>
              <w:spacing w:before="93" w:beforeLines="3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12环保要求</w:t>
            </w:r>
          </w:p>
        </w:tc>
        <w:tc>
          <w:tcPr>
            <w:tcW w:w="2511" w:type="pct"/>
            <w:gridSpan w:val="6"/>
            <w:vAlign w:val="center"/>
          </w:tcPr>
          <w:p>
            <w:pPr>
              <w:spacing w:before="93" w:beforeLines="3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柜体板材符合国标E0级检测标准，甲醛释放量≤0.030mg/m³（国家技术要求≤0.050mg/m³）</w:t>
            </w:r>
          </w:p>
        </w:tc>
        <w:tc>
          <w:tcPr>
            <w:tcW w:w="879" w:type="pct"/>
            <w:vAlign w:val="center"/>
          </w:tcPr>
          <w:p>
            <w:pPr>
              <w:spacing w:before="93" w:beforeLines="3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第三方检测</w:t>
            </w:r>
          </w:p>
        </w:tc>
        <w:tc>
          <w:tcPr>
            <w:tcW w:w="985" w:type="pct"/>
            <w:vAlign w:val="center"/>
          </w:tcPr>
          <w:p>
            <w:pPr>
              <w:spacing w:before="93" w:beforeLines="3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板材检验报告</w:t>
            </w:r>
          </w:p>
        </w:tc>
      </w:tr>
    </w:tbl>
    <w:p>
      <w:pPr>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（五）工作配合要求</w:t>
      </w:r>
    </w:p>
    <w:p>
      <w:pPr>
        <w:spacing w:before="93" w:beforeLines="30"/>
        <w:ind w:firstLine="240" w:firstLineChars="1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1、样板封样与管理，根据甲方要求进行封样。</w:t>
      </w:r>
    </w:p>
    <w:p>
      <w:pPr>
        <w:spacing w:before="93" w:beforeLines="30"/>
        <w:ind w:firstLine="240" w:firstLineChars="1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2、施工配合</w:t>
      </w:r>
    </w:p>
    <w:p>
      <w:pPr>
        <w:spacing w:before="93" w:beforeLines="30"/>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2.1人员配置：至少配置一名常驻现场管理人员。主要施工工人/工种必须持证上岗，且施工班组的配置必须满足现场工期要求。</w:t>
      </w:r>
    </w:p>
    <w:p>
      <w:pPr>
        <w:spacing w:before="93" w:beforeLines="30"/>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2.2发包方有权要求中标方撤换不称职的人员。任何人员调离后，必须由发包方认可的称职人员接替。</w:t>
      </w:r>
    </w:p>
    <w:p>
      <w:pPr>
        <w:spacing w:before="93" w:beforeLines="30"/>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3、技术服务：根据发包方项目管理部需要无偿提供相关技术服务，包括但不限于：现场技术培训与交底、样板试验与示范、配合项目进行二次深化设计、解决方案的提案与评审等。</w:t>
      </w:r>
    </w:p>
    <w:p>
      <w:pPr>
        <w:spacing w:before="93" w:beforeLines="30"/>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4、施工机具：供货并施工情况，须配置满足现场需要之专业施工机具与工具。</w:t>
      </w:r>
    </w:p>
    <w:p>
      <w:pPr>
        <w:spacing w:before="93" w:beforeLines="30"/>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5、中标方须服从（装修）总包的统一管理。包括但不限于：</w:t>
      </w:r>
    </w:p>
    <w:p>
      <w:pPr>
        <w:spacing w:before="93" w:beforeLines="30"/>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5.1</w:t>
      </w:r>
      <w:r>
        <w:rPr>
          <w:rFonts w:hint="eastAsia" w:ascii="仿宋" w:hAnsi="仿宋" w:eastAsia="仿宋" w:cs="仿宋"/>
          <w:color w:val="auto"/>
          <w:sz w:val="24"/>
          <w:szCs w:val="24"/>
          <w:highlight w:val="none"/>
        </w:rPr>
        <w:t>须向（装修）总包及相关方提供施工组织计划与进度计划（过程中，须上报月计划与周计划，特殊情况须每天更新计划）。</w:t>
      </w:r>
    </w:p>
    <w:p>
      <w:pPr>
        <w:spacing w:before="93" w:beforeLines="30"/>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5.2</w:t>
      </w:r>
      <w:r>
        <w:rPr>
          <w:rFonts w:hint="eastAsia" w:ascii="仿宋" w:hAnsi="仿宋" w:eastAsia="仿宋" w:cs="仿宋"/>
          <w:color w:val="auto"/>
          <w:sz w:val="24"/>
          <w:szCs w:val="24"/>
          <w:highlight w:val="none"/>
        </w:rPr>
        <w:t>须参加工程例会，必要的协调会与专题会议。中标方应提前一周在例会上提出对道路运输、场地使用、楼面占用、大型机械吊运等要求。</w:t>
      </w:r>
    </w:p>
    <w:p>
      <w:pPr>
        <w:spacing w:before="93" w:beforeLines="30"/>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5.3</w:t>
      </w:r>
      <w:r>
        <w:rPr>
          <w:rFonts w:hint="eastAsia" w:ascii="仿宋" w:hAnsi="仿宋" w:eastAsia="仿宋" w:cs="仿宋"/>
          <w:color w:val="auto"/>
          <w:sz w:val="24"/>
          <w:szCs w:val="24"/>
          <w:highlight w:val="none"/>
        </w:rPr>
        <w:t>中标方在进场前应对已完成的工程及场地进行检查、接收，每道工序施工前须检查与确认上道工序（作业面）的质量。</w:t>
      </w:r>
    </w:p>
    <w:p>
      <w:pPr>
        <w:spacing w:before="93" w:beforeLines="30"/>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5.4</w:t>
      </w:r>
      <w:r>
        <w:rPr>
          <w:rFonts w:hint="eastAsia" w:ascii="仿宋" w:hAnsi="仿宋" w:eastAsia="仿宋" w:cs="仿宋"/>
          <w:color w:val="auto"/>
          <w:sz w:val="24"/>
          <w:szCs w:val="24"/>
          <w:highlight w:val="none"/>
        </w:rPr>
        <w:t>中标方在各分项施工前须与总包与监理方联系，与总包及相关方核对相关的工程图纸，提供或了解其在分项工程上的特殊要求，如开槽、预留孔洞、预埋件等，并在每次隐蔽工程之前，配合总包单位确认。否则，因此而导致的额外施工费用由乙方承担。</w:t>
      </w:r>
    </w:p>
    <w:p>
      <w:pPr>
        <w:spacing w:before="93" w:beforeLines="30"/>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5.5</w:t>
      </w:r>
      <w:r>
        <w:rPr>
          <w:rFonts w:hint="eastAsia" w:ascii="仿宋" w:hAnsi="仿宋" w:eastAsia="仿宋" w:cs="仿宋"/>
          <w:color w:val="auto"/>
          <w:sz w:val="24"/>
          <w:szCs w:val="24"/>
          <w:highlight w:val="none"/>
        </w:rPr>
        <w:t>中标方对陆续完成的工程负有实施产品保护的责任，如对其它单位的工程或设施造成损坏的，经监理核实后照价赔偿。</w:t>
      </w:r>
    </w:p>
    <w:p>
      <w:pPr>
        <w:spacing w:before="93" w:beforeLines="30"/>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5.6</w:t>
      </w:r>
      <w:r>
        <w:rPr>
          <w:rFonts w:hint="eastAsia" w:ascii="仿宋" w:hAnsi="仿宋" w:eastAsia="仿宋" w:cs="仿宋"/>
          <w:color w:val="auto"/>
          <w:sz w:val="24"/>
          <w:szCs w:val="24"/>
          <w:highlight w:val="none"/>
        </w:rPr>
        <w:t>责将自己的施工垃圾运到总包方在现场指定的垃圾堆放点，总包方负责清运指定堆放点的垃圾，总包方设立专业作业队进行每天完工后的清场工作，如发现中标方的建筑垃圾乱放，作业面清理不到位，则总包方作业队将作业面清理后，所发生的人工费、机械费将在中标方工程款中扣除。情节严重的在例会中通报批评，甚至进行违约索赔。</w:t>
      </w:r>
    </w:p>
    <w:p>
      <w:pPr>
        <w:spacing w:before="93" w:beforeLines="30"/>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5.7</w:t>
      </w:r>
      <w:r>
        <w:rPr>
          <w:rFonts w:hint="eastAsia" w:ascii="仿宋" w:hAnsi="仿宋" w:eastAsia="仿宋" w:cs="仿宋"/>
          <w:color w:val="auto"/>
          <w:sz w:val="24"/>
          <w:szCs w:val="24"/>
          <w:highlight w:val="none"/>
        </w:rPr>
        <w:t>中标方应服从（装修）总包方对现场安全和文明施工的统一管理。</w:t>
      </w:r>
    </w:p>
    <w:p>
      <w:pPr>
        <w:spacing w:before="93" w:beforeLines="30"/>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总包对中标方提供相关服务包括：</w:t>
      </w:r>
    </w:p>
    <w:p>
      <w:pPr>
        <w:spacing w:before="93" w:beforeLines="30"/>
        <w:ind w:firstLine="240" w:firstLineChars="1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提供标高、定位点线等。</w:t>
      </w:r>
    </w:p>
    <w:p>
      <w:pPr>
        <w:spacing w:before="93" w:beforeLines="30"/>
        <w:ind w:firstLine="240" w:firstLineChars="1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.1提供工地内垂直运输设备（如塔吊、施工电梯/正式电梯等），提供脚手架的使用。</w:t>
      </w:r>
    </w:p>
    <w:p>
      <w:pPr>
        <w:spacing w:before="93" w:beforeLines="30"/>
        <w:ind w:firstLine="240" w:firstLineChars="1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2提供施工用照明用电、施工用水及用电接驳点，并供应其调试所需负荷。中标方应按总包方要求提供用水用电计划，配置必要的计量装置。从配电箱引出的分电箱由中标方自行解决。生产/生活用水、用电费用由中标方自行承担。施工人员食宿由中标方自行解决。</w:t>
      </w:r>
    </w:p>
    <w:p>
      <w:pPr>
        <w:spacing w:before="93" w:beforeLines="30"/>
        <w:ind w:firstLine="240" w:firstLineChars="1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.3提供通道与场地，负责安排作业面及作业时间，负责分配中标方的施工、办公、仓储等用途的场地。</w:t>
      </w:r>
    </w:p>
    <w:p>
      <w:pPr>
        <w:spacing w:before="93" w:beforeLines="30"/>
        <w:ind w:firstLine="240" w:firstLineChars="1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、物料看管</w:t>
      </w:r>
    </w:p>
    <w:p>
      <w:pPr>
        <w:ind w:firstLine="240" w:firstLineChars="100"/>
        <w:rPr>
          <w:rFonts w:ascii="仿宋" w:hAnsi="仿宋" w:eastAsia="仿宋" w:cs="仿宋"/>
          <w:color w:val="auto"/>
          <w:highlight w:val="none"/>
        </w:rPr>
      </w:pPr>
      <w:r>
        <w:rPr>
          <w:rFonts w:hint="eastAsia" w:ascii="仿宋" w:hAnsi="仿宋" w:eastAsia="仿宋" w:cs="仿宋"/>
          <w:color w:val="auto"/>
          <w:sz w:val="24"/>
          <w:szCs w:val="24"/>
          <w:highlight w:val="none"/>
        </w:rPr>
        <w:t>在发包方竣工验收合格之前，中标方须保管好已运抵工地的材料、机具，使其免遭损坏或失窃，否则，由此造成的一切后果均由卖方承担</w:t>
      </w:r>
      <w:r>
        <w:rPr>
          <w:rFonts w:hint="eastAsia" w:ascii="仿宋" w:hAnsi="仿宋" w:eastAsia="仿宋" w:cs="仿宋"/>
          <w:color w:val="auto"/>
          <w:highlight w:val="none"/>
        </w:rPr>
        <w:t>。</w:t>
      </w:r>
    </w:p>
    <w:p>
      <w:pPr>
        <w:outlineLvl w:val="1"/>
        <w:rPr>
          <w:rFonts w:ascii="仿宋" w:hAnsi="仿宋" w:eastAsia="仿宋" w:cs="仿宋"/>
          <w:b/>
          <w:color w:val="auto"/>
          <w:sz w:val="24"/>
          <w:szCs w:val="24"/>
          <w:highlight w:val="none"/>
        </w:rPr>
      </w:pPr>
      <w:bookmarkStart w:id="84" w:name="_Toc29780"/>
      <w:bookmarkStart w:id="85" w:name="_Toc28230"/>
      <w:r>
        <w:rPr>
          <w:rFonts w:hint="eastAsia" w:ascii="仿宋" w:hAnsi="仿宋" w:eastAsia="仿宋" w:cs="仿宋"/>
          <w:b/>
          <w:color w:val="auto"/>
          <w:sz w:val="24"/>
          <w:szCs w:val="24"/>
          <w:highlight w:val="none"/>
        </w:rPr>
        <w:t>二.商务条件</w:t>
      </w:r>
      <w:bookmarkEnd w:id="84"/>
      <w:bookmarkEnd w:id="85"/>
    </w:p>
    <w:p>
      <w:pPr>
        <w:ind w:firstLine="240" w:firstLineChars="1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★3.1供货期</w:t>
      </w:r>
    </w:p>
    <w:p>
      <w:pPr>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签订合同后30天内完成生产。具体安装时间以采购人书面通知为准，交货验收、安装调试必须在25天内完成。</w:t>
      </w:r>
    </w:p>
    <w:p>
      <w:pPr>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3.2交货地点</w:t>
      </w:r>
    </w:p>
    <w:p>
      <w:pPr>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采购人指定地点。</w:t>
      </w:r>
    </w:p>
    <w:p>
      <w:pPr>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3.3质量保证期</w:t>
      </w:r>
    </w:p>
    <w:p>
      <w:pPr>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3.3.1质保期：自验收合格之日起免费质保5年，国家主管部门或者行业标准对货物本身有更高要求的，从其规定并在合同中约定，投标人亦可提报更长的质保期。</w:t>
      </w:r>
    </w:p>
    <w:p>
      <w:pPr>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3.3.2中标人所提供的设备必须是全新设备，质量保证期内，如果证实货物是有缺陷的，包括潜在的缺陷或者使用不符合要求的材料等，中标人应立即免费维修或者更换有缺陷的货物或者部件，保证达到合同规定的技术以及性能要求。如果中标人在收到通知后3天内没有弥补缺陷，采购人可自行采取必要的补救措施，但风险和费用由中标人承担，采购人同时保留通过法律途径进行索赔的权利。</w:t>
      </w:r>
    </w:p>
    <w:p>
      <w:pPr>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3.4售后服务要求</w:t>
      </w:r>
    </w:p>
    <w:p>
      <w:pPr>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售后服务：在承诺的免费保修期内，因产品质量不良造成的损坏，中标人应负责免费维修、更换。中标人必须有可靠的售后服务保障，当发生故障时，中标人必须在24小时内到达采购单位。</w:t>
      </w:r>
    </w:p>
    <w:p>
      <w:pPr>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中标人必须负责所采购设备的运输，并负责进场卸货、安装、检测，合格后交付使用，并提供标书要求年限的免费保修。</w:t>
      </w:r>
    </w:p>
    <w:p>
      <w:pPr>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3.5付款方式</w:t>
      </w:r>
    </w:p>
    <w:p>
      <w:pPr>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本项目设备全部到货、安装并验收合格后30日内供方开具全额合同货款发票，凭用户签字、国有资产管理处盖章的验收单支付合同货款的90%；其余10%款项为质保金，验收合格一年后视产品质量及服务情况，支付尾款。</w:t>
      </w:r>
    </w:p>
    <w:p>
      <w:pPr>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3.6验收要求</w:t>
      </w:r>
    </w:p>
    <w:p>
      <w:pPr>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3.6.1货物运抵现场后，采购人将对货物数量、质量、规格等进行检验。</w:t>
      </w:r>
    </w:p>
    <w:p>
      <w:pPr>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3.6.2货物全部到达后，采购人随机抽取一整套家具送到指定的检测机构进行检测，费用由中标人承担。如质量达不到要求，采购人将视货物具体情况决定由中标方予以调换，直到达到质量标准，并相应扣除5%货款，由此造成的全部损失将由中标人承担。</w:t>
      </w:r>
    </w:p>
    <w:p>
      <w:pPr>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3.6.3货到现场采购人在供货产品中随机抽取一位进行破坏性实验，检验是否与投标文件技术参数和投标样品相符，抽检一次不合格采购人将相应扣除5%货款，二次抽检再不合格采购人有权解除采购合同，中标人将按照采购合同赔付违约金。</w:t>
      </w:r>
    </w:p>
    <w:p>
      <w:pPr>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3.6.4搬运安装过程中如损坏楼内建筑和室内物品设备，采购人将根据实际情况，由中标人给予赔偿。安装完毕后，货物以及安装质量无任何问题，由采购人组成的验收小组签署验收报告，作为付款凭据之一。</w:t>
      </w:r>
    </w:p>
    <w:p>
      <w:pPr>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注：招标文件中</w:t>
      </w:r>
    </w:p>
    <w:p>
      <w:pPr>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带“★”标注的参数为实质性条款，投标人必须按照招标文件的要求做出实质性响应。</w:t>
      </w:r>
    </w:p>
    <w:p>
      <w:pPr>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带“※”标注的产品为投标人开标时需提供的样品，中标后投标人送至采购人指定地点封存。投标人提交的样品与投标文件不一致的，由投标人承担相关法律责任。</w:t>
      </w:r>
    </w:p>
    <w:p>
      <w:pPr>
        <w:ind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带“●”标注的产品为核心产品，系指在非单一产品采购项目中，采购人根据采购项目技术构成、产品价格比重等合理确定的产品，核心产品竞标品牌不足3家的，项目废标。</w:t>
      </w:r>
    </w:p>
    <w:p>
      <w:pPr>
        <w:ind w:firstLine="480" w:firstLineChars="200"/>
        <w:rPr>
          <w:rFonts w:ascii="仿宋" w:hAnsi="仿宋" w:eastAsia="仿宋" w:cs="仿宋"/>
          <w:color w:val="auto"/>
          <w:highlight w:val="none"/>
        </w:rPr>
      </w:pPr>
      <w:r>
        <w:rPr>
          <w:rFonts w:hint="eastAsia" w:ascii="仿宋" w:hAnsi="仿宋" w:eastAsia="仿宋" w:cs="仿宋"/>
          <w:color w:val="auto"/>
          <w:sz w:val="24"/>
          <w:szCs w:val="24"/>
          <w:highlight w:val="none"/>
        </w:rPr>
        <w:t>带“*”标注的参数为重要项，若不满足，将进行重点扣分处理，不作废标处理</w:t>
      </w:r>
      <w:r>
        <w:rPr>
          <w:rFonts w:hint="eastAsia" w:ascii="仿宋" w:hAnsi="仿宋" w:eastAsia="仿宋" w:cs="仿宋"/>
          <w:color w:val="auto"/>
          <w:highlight w:val="none"/>
        </w:rPr>
        <w:br w:type="page"/>
      </w:r>
    </w:p>
    <w:p>
      <w:pPr>
        <w:pStyle w:val="3"/>
        <w:rPr>
          <w:rFonts w:ascii="仿宋" w:hAnsi="仿宋" w:eastAsia="仿宋" w:cs="仿宋"/>
          <w:color w:val="auto"/>
          <w:highlight w:val="none"/>
        </w:rPr>
      </w:pPr>
      <w:bookmarkStart w:id="86" w:name="_Toc6485"/>
      <w:r>
        <w:rPr>
          <w:rFonts w:hint="eastAsia" w:ascii="仿宋" w:hAnsi="仿宋" w:eastAsia="仿宋" w:cs="仿宋"/>
          <w:color w:val="auto"/>
          <w:highlight w:val="none"/>
        </w:rPr>
        <w:t>第六部分 附件</w:t>
      </w:r>
      <w:bookmarkEnd w:id="86"/>
    </w:p>
    <w:p>
      <w:pPr>
        <w:rPr>
          <w:color w:val="auto"/>
          <w:highlight w:val="none"/>
        </w:rPr>
      </w:pPr>
      <w:bookmarkStart w:id="87" w:name="_Toc427823747"/>
    </w:p>
    <w:p>
      <w:pPr>
        <w:pStyle w:val="135"/>
        <w:spacing w:before="31" w:after="31"/>
        <w:ind w:firstLine="643"/>
        <w:rPr>
          <w:rFonts w:ascii="仿宋" w:hAnsi="仿宋" w:eastAsia="仿宋" w:cs="仿宋"/>
          <w:b/>
          <w:color w:val="auto"/>
          <w:sz w:val="32"/>
          <w:szCs w:val="32"/>
          <w:highlight w:val="none"/>
        </w:rPr>
      </w:pPr>
      <w:bookmarkStart w:id="88" w:name="_Toc13672900"/>
      <w:bookmarkStart w:id="89" w:name="_Toc503789286"/>
      <w:r>
        <w:rPr>
          <w:rFonts w:hint="eastAsia" w:ascii="仿宋" w:hAnsi="仿宋" w:eastAsia="仿宋" w:cs="仿宋"/>
          <w:b/>
          <w:color w:val="auto"/>
          <w:sz w:val="32"/>
          <w:szCs w:val="32"/>
          <w:highlight w:val="none"/>
        </w:rPr>
        <w:t>投标文件格式</w:t>
      </w:r>
      <w:bookmarkEnd w:id="87"/>
      <w:bookmarkEnd w:id="88"/>
      <w:bookmarkEnd w:id="89"/>
    </w:p>
    <w:p>
      <w:pPr>
        <w:spacing w:line="440" w:lineRule="exact"/>
        <w:jc w:val="left"/>
        <w:rPr>
          <w:rFonts w:ascii="仿宋" w:hAnsi="仿宋" w:eastAsia="仿宋" w:cs="仿宋"/>
          <w:color w:val="auto"/>
          <w:sz w:val="21"/>
          <w:szCs w:val="22"/>
          <w:highlight w:val="none"/>
        </w:rPr>
      </w:pPr>
    </w:p>
    <w:p>
      <w:pPr>
        <w:spacing w:line="440" w:lineRule="exact"/>
        <w:jc w:val="left"/>
        <w:rPr>
          <w:rFonts w:ascii="仿宋" w:hAnsi="仿宋" w:eastAsia="仿宋" w:cs="仿宋"/>
          <w:color w:val="auto"/>
          <w:sz w:val="21"/>
          <w:szCs w:val="21"/>
          <w:highlight w:val="none"/>
          <w:lang w:val="zh-CN"/>
        </w:rPr>
      </w:pPr>
    </w:p>
    <w:p>
      <w:pPr>
        <w:spacing w:line="440" w:lineRule="exact"/>
        <w:jc w:val="left"/>
        <w:rPr>
          <w:rFonts w:ascii="仿宋" w:hAnsi="仿宋" w:eastAsia="仿宋" w:cs="仿宋"/>
          <w:color w:val="auto"/>
          <w:sz w:val="21"/>
          <w:szCs w:val="21"/>
          <w:highlight w:val="none"/>
          <w:lang w:val="zh-CN"/>
        </w:rPr>
        <w:sectPr>
          <w:footerReference r:id="rId3" w:type="default"/>
          <w:pgSz w:w="11906" w:h="16838"/>
          <w:pgMar w:top="1440" w:right="1080" w:bottom="1440" w:left="1080" w:header="851" w:footer="992" w:gutter="0"/>
          <w:cols w:space="720" w:num="1"/>
          <w:docGrid w:type="lines" w:linePitch="312" w:charSpace="0"/>
        </w:sectPr>
      </w:pPr>
    </w:p>
    <w:p>
      <w:pPr>
        <w:pStyle w:val="34"/>
        <w:spacing w:line="360" w:lineRule="auto"/>
        <w:outlineLvl w:val="1"/>
        <w:rPr>
          <w:rFonts w:ascii="仿宋" w:hAnsi="仿宋" w:eastAsia="仿宋" w:cs="仿宋"/>
          <w:b w:val="0"/>
          <w:color w:val="auto"/>
          <w:sz w:val="28"/>
          <w:szCs w:val="28"/>
          <w:highlight w:val="none"/>
        </w:rPr>
      </w:pPr>
      <w:bookmarkStart w:id="90" w:name="_Toc11952"/>
      <w:r>
        <w:rPr>
          <w:rFonts w:hint="eastAsia" w:ascii="仿宋" w:hAnsi="仿宋" w:eastAsia="仿宋" w:cs="仿宋"/>
          <w:b w:val="0"/>
          <w:color w:val="auto"/>
          <w:sz w:val="28"/>
          <w:szCs w:val="28"/>
          <w:highlight w:val="none"/>
        </w:rPr>
        <w:t>附件1：封面格式</w:t>
      </w:r>
      <w:bookmarkEnd w:id="90"/>
    </w:p>
    <w:p>
      <w:pPr>
        <w:widowControl/>
        <w:autoSpaceDE w:val="0"/>
        <w:autoSpaceDN w:val="0"/>
        <w:adjustRightInd w:val="0"/>
        <w:spacing w:line="440" w:lineRule="exact"/>
        <w:ind w:right="-481"/>
        <w:jc w:val="left"/>
        <w:rPr>
          <w:rFonts w:ascii="仿宋" w:hAnsi="仿宋" w:eastAsia="仿宋" w:cs="仿宋"/>
          <w:color w:val="auto"/>
          <w:kern w:val="1"/>
          <w:highlight w:val="none"/>
        </w:rPr>
      </w:pPr>
    </w:p>
    <w:p>
      <w:pPr>
        <w:widowControl/>
        <w:autoSpaceDE w:val="0"/>
        <w:autoSpaceDN w:val="0"/>
        <w:adjustRightInd w:val="0"/>
        <w:spacing w:line="440" w:lineRule="exact"/>
        <w:ind w:right="-481"/>
        <w:jc w:val="right"/>
        <w:rPr>
          <w:rFonts w:ascii="仿宋" w:hAnsi="仿宋" w:eastAsia="仿宋" w:cs="仿宋"/>
          <w:color w:val="auto"/>
          <w:kern w:val="1"/>
          <w:highlight w:val="none"/>
        </w:rPr>
      </w:pPr>
      <w:r>
        <w:rPr>
          <w:rFonts w:hint="eastAsia" w:ascii="仿宋" w:hAnsi="仿宋" w:eastAsia="仿宋" w:cs="仿宋"/>
          <w:color w:val="auto"/>
          <w:kern w:val="1"/>
          <w:highlight w:val="none"/>
        </w:rPr>
        <w:t>【正（副）本】</w:t>
      </w:r>
    </w:p>
    <w:p>
      <w:pPr>
        <w:widowControl/>
        <w:autoSpaceDE w:val="0"/>
        <w:autoSpaceDN w:val="0"/>
        <w:adjustRightInd w:val="0"/>
        <w:spacing w:line="440" w:lineRule="exact"/>
        <w:ind w:right="-481"/>
        <w:jc w:val="left"/>
        <w:rPr>
          <w:rFonts w:ascii="仿宋" w:hAnsi="仿宋" w:eastAsia="仿宋" w:cs="仿宋"/>
          <w:color w:val="auto"/>
          <w:kern w:val="1"/>
          <w:highlight w:val="none"/>
        </w:rPr>
      </w:pPr>
    </w:p>
    <w:p>
      <w:pPr>
        <w:widowControl/>
        <w:autoSpaceDE w:val="0"/>
        <w:autoSpaceDN w:val="0"/>
        <w:adjustRightInd w:val="0"/>
        <w:spacing w:line="440" w:lineRule="exact"/>
        <w:ind w:right="-482"/>
        <w:jc w:val="left"/>
        <w:rPr>
          <w:rFonts w:ascii="仿宋" w:hAnsi="仿宋" w:eastAsia="仿宋" w:cs="仿宋"/>
          <w:color w:val="auto"/>
          <w:kern w:val="1"/>
          <w:highlight w:val="none"/>
        </w:rPr>
      </w:pPr>
    </w:p>
    <w:p>
      <w:pPr>
        <w:widowControl/>
        <w:autoSpaceDE w:val="0"/>
        <w:autoSpaceDN w:val="0"/>
        <w:adjustRightInd w:val="0"/>
        <w:spacing w:line="440" w:lineRule="exact"/>
        <w:ind w:right="-482"/>
        <w:jc w:val="left"/>
        <w:rPr>
          <w:rFonts w:ascii="仿宋" w:hAnsi="仿宋" w:eastAsia="仿宋" w:cs="仿宋"/>
          <w:color w:val="auto"/>
          <w:kern w:val="1"/>
          <w:sz w:val="84"/>
          <w:szCs w:val="84"/>
          <w:highlight w:val="none"/>
        </w:rPr>
      </w:pPr>
    </w:p>
    <w:p>
      <w:pPr>
        <w:widowControl/>
        <w:autoSpaceDE w:val="0"/>
        <w:autoSpaceDN w:val="0"/>
        <w:adjustRightInd w:val="0"/>
        <w:ind w:right="-482"/>
        <w:jc w:val="center"/>
        <w:rPr>
          <w:rFonts w:ascii="仿宋" w:hAnsi="仿宋" w:eastAsia="仿宋" w:cs="仿宋"/>
          <w:b/>
          <w:bCs/>
          <w:color w:val="auto"/>
          <w:sz w:val="84"/>
          <w:szCs w:val="84"/>
          <w:highlight w:val="none"/>
        </w:rPr>
      </w:pPr>
      <w:r>
        <w:rPr>
          <w:rFonts w:hint="eastAsia" w:ascii="仿宋" w:hAnsi="仿宋" w:eastAsia="仿宋" w:cs="仿宋"/>
          <w:b/>
          <w:bCs/>
          <w:color w:val="auto"/>
          <w:sz w:val="84"/>
          <w:szCs w:val="84"/>
          <w:highlight w:val="none"/>
        </w:rPr>
        <w:t>投 标 文 件</w:t>
      </w:r>
    </w:p>
    <w:p>
      <w:pPr>
        <w:widowControl/>
        <w:autoSpaceDE w:val="0"/>
        <w:autoSpaceDN w:val="0"/>
        <w:adjustRightInd w:val="0"/>
        <w:ind w:right="-482"/>
        <w:jc w:val="left"/>
        <w:rPr>
          <w:rFonts w:ascii="仿宋" w:hAnsi="仿宋" w:eastAsia="仿宋" w:cs="仿宋"/>
          <w:b/>
          <w:bCs/>
          <w:color w:val="auto"/>
          <w:sz w:val="21"/>
          <w:szCs w:val="21"/>
          <w:highlight w:val="none"/>
        </w:rPr>
      </w:pPr>
    </w:p>
    <w:p>
      <w:pPr>
        <w:widowControl/>
        <w:autoSpaceDE w:val="0"/>
        <w:autoSpaceDN w:val="0"/>
        <w:adjustRightInd w:val="0"/>
        <w:ind w:right="-482"/>
        <w:jc w:val="left"/>
        <w:rPr>
          <w:rFonts w:ascii="仿宋" w:hAnsi="仿宋" w:eastAsia="仿宋" w:cs="仿宋"/>
          <w:b/>
          <w:bCs/>
          <w:color w:val="auto"/>
          <w:highlight w:val="none"/>
        </w:rPr>
      </w:pPr>
    </w:p>
    <w:p>
      <w:pPr>
        <w:widowControl/>
        <w:autoSpaceDE w:val="0"/>
        <w:autoSpaceDN w:val="0"/>
        <w:adjustRightInd w:val="0"/>
        <w:ind w:right="-482"/>
        <w:jc w:val="left"/>
        <w:rPr>
          <w:rFonts w:ascii="仿宋" w:hAnsi="仿宋" w:eastAsia="仿宋" w:cs="仿宋"/>
          <w:b/>
          <w:bCs/>
          <w:color w:val="auto"/>
          <w:sz w:val="52"/>
          <w:szCs w:val="52"/>
          <w:highlight w:val="none"/>
        </w:rPr>
      </w:pPr>
    </w:p>
    <w:p>
      <w:pPr>
        <w:widowControl/>
        <w:autoSpaceDE w:val="0"/>
        <w:autoSpaceDN w:val="0"/>
        <w:adjustRightInd w:val="0"/>
        <w:spacing w:line="480" w:lineRule="auto"/>
        <w:ind w:right="-482"/>
        <w:jc w:val="left"/>
        <w:rPr>
          <w:rFonts w:ascii="仿宋" w:hAnsi="仿宋" w:eastAsia="仿宋" w:cs="仿宋"/>
          <w:b/>
          <w:bCs/>
          <w:color w:val="auto"/>
          <w:sz w:val="52"/>
          <w:szCs w:val="52"/>
          <w:highlight w:val="none"/>
        </w:rPr>
      </w:pPr>
    </w:p>
    <w:p>
      <w:pPr>
        <w:widowControl/>
        <w:autoSpaceDE w:val="0"/>
        <w:autoSpaceDN w:val="0"/>
        <w:adjustRightInd w:val="0"/>
        <w:spacing w:line="480" w:lineRule="auto"/>
        <w:ind w:right="-482"/>
        <w:jc w:val="left"/>
        <w:rPr>
          <w:rFonts w:ascii="仿宋" w:hAnsi="仿宋" w:eastAsia="仿宋" w:cs="仿宋"/>
          <w:b/>
          <w:bCs/>
          <w:color w:val="auto"/>
          <w:sz w:val="52"/>
          <w:szCs w:val="52"/>
          <w:highlight w:val="none"/>
        </w:rPr>
      </w:pPr>
    </w:p>
    <w:p>
      <w:pPr>
        <w:widowControl/>
        <w:autoSpaceDE w:val="0"/>
        <w:autoSpaceDN w:val="0"/>
        <w:adjustRightInd w:val="0"/>
        <w:spacing w:line="480" w:lineRule="auto"/>
        <w:ind w:right="-482"/>
        <w:jc w:val="left"/>
        <w:rPr>
          <w:rFonts w:ascii="仿宋" w:hAnsi="仿宋" w:eastAsia="仿宋" w:cs="仿宋"/>
          <w:b/>
          <w:bCs/>
          <w:color w:val="auto"/>
          <w:sz w:val="52"/>
          <w:szCs w:val="52"/>
          <w:highlight w:val="none"/>
        </w:rPr>
      </w:pPr>
    </w:p>
    <w:p>
      <w:pPr>
        <w:widowControl/>
        <w:autoSpaceDE w:val="0"/>
        <w:autoSpaceDN w:val="0"/>
        <w:adjustRightInd w:val="0"/>
        <w:spacing w:line="480" w:lineRule="auto"/>
        <w:ind w:right="-482" w:firstLine="960" w:firstLineChars="300"/>
        <w:jc w:val="left"/>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采购单位：中国石油大学（华东）</w:t>
      </w:r>
    </w:p>
    <w:p>
      <w:pPr>
        <w:widowControl/>
        <w:autoSpaceDE w:val="0"/>
        <w:autoSpaceDN w:val="0"/>
        <w:adjustRightInd w:val="0"/>
        <w:spacing w:line="480" w:lineRule="auto"/>
        <w:ind w:right="-482" w:firstLine="960" w:firstLineChars="300"/>
        <w:jc w:val="left"/>
        <w:rPr>
          <w:rFonts w:ascii="仿宋" w:hAnsi="仿宋" w:eastAsia="仿宋" w:cs="仿宋"/>
          <w:color w:val="auto"/>
          <w:highlight w:val="none"/>
        </w:rPr>
      </w:pPr>
      <w:r>
        <w:rPr>
          <w:rFonts w:hint="eastAsia" w:ascii="仿宋" w:hAnsi="仿宋" w:eastAsia="仿宋" w:cs="仿宋"/>
          <w:color w:val="auto"/>
          <w:sz w:val="32"/>
          <w:szCs w:val="32"/>
          <w:highlight w:val="none"/>
        </w:rPr>
        <w:t>项目名称：</w:t>
      </w:r>
      <w:r>
        <w:rPr>
          <w:rFonts w:hint="eastAsia" w:ascii="仿宋" w:hAnsi="仿宋" w:eastAsia="仿宋" w:cs="仿宋"/>
          <w:color w:val="auto"/>
          <w:highlight w:val="none"/>
        </w:rPr>
        <w:t xml:space="preserve"> </w:t>
      </w:r>
    </w:p>
    <w:p>
      <w:pPr>
        <w:widowControl/>
        <w:autoSpaceDE w:val="0"/>
        <w:autoSpaceDN w:val="0"/>
        <w:adjustRightInd w:val="0"/>
        <w:spacing w:line="480" w:lineRule="auto"/>
        <w:ind w:right="-482" w:firstLine="960" w:firstLineChars="300"/>
        <w:jc w:val="left"/>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 xml:space="preserve">项目编号： </w:t>
      </w:r>
    </w:p>
    <w:p>
      <w:pPr>
        <w:widowControl/>
        <w:autoSpaceDE w:val="0"/>
        <w:autoSpaceDN w:val="0"/>
        <w:adjustRightInd w:val="0"/>
        <w:spacing w:line="480" w:lineRule="auto"/>
        <w:ind w:right="-482" w:firstLine="960" w:firstLineChars="300"/>
        <w:jc w:val="left"/>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供应商全称（盖公章）：</w:t>
      </w:r>
    </w:p>
    <w:p>
      <w:pPr>
        <w:widowControl/>
        <w:autoSpaceDE w:val="0"/>
        <w:autoSpaceDN w:val="0"/>
        <w:adjustRightInd w:val="0"/>
        <w:spacing w:line="480" w:lineRule="auto"/>
        <w:ind w:right="-482" w:firstLine="3040" w:firstLineChars="950"/>
        <w:jc w:val="left"/>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二〇   年  月  日</w:t>
      </w:r>
    </w:p>
    <w:p>
      <w:pPr>
        <w:pStyle w:val="34"/>
        <w:spacing w:line="360" w:lineRule="auto"/>
        <w:outlineLvl w:val="1"/>
        <w:rPr>
          <w:rFonts w:ascii="仿宋" w:hAnsi="仿宋" w:eastAsia="仿宋" w:cs="仿宋"/>
          <w:b w:val="0"/>
          <w:color w:val="auto"/>
          <w:sz w:val="28"/>
          <w:szCs w:val="28"/>
          <w:highlight w:val="none"/>
        </w:rPr>
      </w:pPr>
      <w:r>
        <w:rPr>
          <w:rFonts w:hint="eastAsia" w:ascii="仿宋" w:hAnsi="仿宋" w:eastAsia="仿宋" w:cs="仿宋"/>
          <w:b w:val="0"/>
          <w:bCs w:val="0"/>
          <w:color w:val="auto"/>
          <w:kern w:val="1"/>
          <w:sz w:val="30"/>
          <w:szCs w:val="30"/>
          <w:highlight w:val="none"/>
        </w:rPr>
        <w:br w:type="page"/>
      </w:r>
      <w:bookmarkStart w:id="91" w:name="_Toc29884"/>
      <w:r>
        <w:rPr>
          <w:rFonts w:hint="eastAsia" w:ascii="仿宋" w:hAnsi="仿宋" w:eastAsia="仿宋" w:cs="仿宋"/>
          <w:b w:val="0"/>
          <w:color w:val="auto"/>
          <w:sz w:val="28"/>
          <w:szCs w:val="28"/>
          <w:highlight w:val="none"/>
        </w:rPr>
        <w:t>附件2：投标函</w:t>
      </w:r>
      <w:bookmarkEnd w:id="91"/>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602" w:firstLineChars="200"/>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投 标 函</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中国石油大学（华东）：</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我方确认收到贵方提供的“中国石油大学（华东）******【项目编号SHSDZB2022-017】”的招标文件的全部内容。经研究，我们决定参加该项目的招标并报价。为此，我方郑重声明以下诸点，并负法律责任。</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1、我方提交的投标文件，正本一份，副本四份。</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2、如果我方的投标文件被接受，我们将履行招标文件中规定的每一项要求，并按我方投标文件中的承诺按期、保质、保量完成项目的实施。</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3、我方已详细检查所有投标文件、附件以及所提供的参考文件，有模糊和误解产生的一切后果，由我方自负。</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4、投标文件在公开报价后90日内有效。</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5、我们同意按照招标文件的要求，提供与提交投标文件有关的数据和资料。</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6、我方愿按《中华人民共和国民法典》履行自己的全部责任。</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7、我们理解，最低报价不是中标的唯一条件，你们有选择中标人的权利。</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8.我方承诺：我方完全理解并同意在新型冠状病毒感染肺炎疫情防控期间贵校采用的招标方式，并对此产生的评审结果完全认可。</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9、与本报价有关所有往来信函，应按下列地址进行：</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地址：</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邮政编码：</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电话：</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传真：</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投标人全称：</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公章：</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法定代表人签字：</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年   月   日</w:t>
      </w:r>
    </w:p>
    <w:p>
      <w:pPr>
        <w:pStyle w:val="34"/>
        <w:spacing w:line="360" w:lineRule="auto"/>
        <w:outlineLvl w:val="1"/>
        <w:rPr>
          <w:rFonts w:ascii="仿宋" w:hAnsi="仿宋" w:eastAsia="仿宋" w:cs="仿宋"/>
          <w:color w:val="auto"/>
          <w:sz w:val="30"/>
          <w:szCs w:val="30"/>
          <w:highlight w:val="none"/>
        </w:rPr>
      </w:pPr>
      <w:r>
        <w:rPr>
          <w:rFonts w:hint="eastAsia" w:ascii="仿宋" w:hAnsi="仿宋" w:eastAsia="仿宋" w:cs="仿宋"/>
          <w:color w:val="auto"/>
          <w:sz w:val="24"/>
          <w:szCs w:val="24"/>
          <w:highlight w:val="none"/>
        </w:rPr>
        <w:br w:type="page"/>
      </w:r>
      <w:bookmarkStart w:id="92" w:name="_Toc323130135"/>
      <w:bookmarkStart w:id="93" w:name="_Toc323129568"/>
      <w:bookmarkStart w:id="94" w:name="_Toc29491"/>
      <w:bookmarkStart w:id="95" w:name="_Toc325620729"/>
      <w:r>
        <w:rPr>
          <w:rFonts w:hint="eastAsia" w:ascii="仿宋" w:hAnsi="仿宋" w:eastAsia="仿宋" w:cs="仿宋"/>
          <w:b w:val="0"/>
          <w:color w:val="auto"/>
          <w:sz w:val="28"/>
          <w:szCs w:val="28"/>
          <w:highlight w:val="none"/>
        </w:rPr>
        <w:t>附件</w:t>
      </w:r>
      <w:bookmarkEnd w:id="92"/>
      <w:bookmarkEnd w:id="93"/>
      <w:r>
        <w:rPr>
          <w:rFonts w:hint="eastAsia" w:ascii="仿宋" w:hAnsi="仿宋" w:eastAsia="仿宋" w:cs="仿宋"/>
          <w:b w:val="0"/>
          <w:color w:val="auto"/>
          <w:sz w:val="28"/>
          <w:szCs w:val="28"/>
          <w:highlight w:val="none"/>
        </w:rPr>
        <w:t>3：法定代表人身份证明</w:t>
      </w:r>
      <w:bookmarkEnd w:id="94"/>
    </w:p>
    <w:p>
      <w:pPr>
        <w:tabs>
          <w:tab w:val="left" w:pos="0"/>
          <w:tab w:val="left" w:pos="720"/>
          <w:tab w:val="left" w:pos="1440"/>
          <w:tab w:val="left" w:pos="2160"/>
          <w:tab w:val="left" w:pos="2880"/>
          <w:tab w:val="left" w:pos="3600"/>
          <w:tab w:val="left" w:pos="4320"/>
        </w:tabs>
        <w:autoSpaceDE w:val="0"/>
        <w:autoSpaceDN w:val="0"/>
        <w:adjustRightInd w:val="0"/>
        <w:spacing w:line="360" w:lineRule="auto"/>
        <w:ind w:firstLine="301" w:firstLineChars="100"/>
        <w:jc w:val="left"/>
        <w:rPr>
          <w:rFonts w:ascii="仿宋" w:hAnsi="仿宋" w:eastAsia="仿宋" w:cs="仿宋"/>
          <w:b/>
          <w:color w:val="auto"/>
          <w:sz w:val="30"/>
          <w:szCs w:val="30"/>
          <w:highlight w:val="none"/>
        </w:rPr>
      </w:pPr>
    </w:p>
    <w:p>
      <w:pPr>
        <w:tabs>
          <w:tab w:val="left" w:pos="0"/>
          <w:tab w:val="left" w:pos="720"/>
          <w:tab w:val="left" w:pos="1440"/>
          <w:tab w:val="left" w:pos="2160"/>
          <w:tab w:val="left" w:pos="2880"/>
          <w:tab w:val="left" w:pos="3600"/>
          <w:tab w:val="left" w:pos="4320"/>
        </w:tabs>
        <w:autoSpaceDE w:val="0"/>
        <w:autoSpaceDN w:val="0"/>
        <w:adjustRightInd w:val="0"/>
        <w:spacing w:line="360" w:lineRule="auto"/>
        <w:ind w:firstLine="301" w:firstLineChars="100"/>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法定代表人身份证明</w:t>
      </w:r>
    </w:p>
    <w:p>
      <w:pPr>
        <w:widowControl/>
        <w:ind w:firstLine="480" w:firstLineChars="200"/>
        <w:jc w:val="left"/>
        <w:rPr>
          <w:rFonts w:ascii="仿宋" w:hAnsi="仿宋" w:eastAsia="仿宋" w:cs="仿宋"/>
          <w:color w:val="auto"/>
          <w:kern w:val="0"/>
          <w:sz w:val="24"/>
          <w:szCs w:val="20"/>
          <w:highlight w:val="none"/>
        </w:rPr>
      </w:pPr>
    </w:p>
    <w:p>
      <w:pPr>
        <w:widowControl/>
        <w:spacing w:line="360" w:lineRule="auto"/>
        <w:ind w:firstLine="480" w:firstLineChars="200"/>
        <w:jc w:val="left"/>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投标人名称：</w:t>
      </w:r>
      <w:r>
        <w:rPr>
          <w:rFonts w:hint="eastAsia" w:ascii="仿宋" w:hAnsi="仿宋" w:eastAsia="仿宋" w:cs="仿宋"/>
          <w:color w:val="auto"/>
          <w:kern w:val="0"/>
          <w:sz w:val="24"/>
          <w:szCs w:val="20"/>
          <w:highlight w:val="none"/>
          <w:u w:val="single"/>
        </w:rPr>
        <w:t xml:space="preserve">                                </w:t>
      </w:r>
      <w:r>
        <w:rPr>
          <w:rFonts w:hint="eastAsia" w:ascii="仿宋" w:hAnsi="仿宋" w:eastAsia="仿宋" w:cs="仿宋"/>
          <w:color w:val="auto"/>
          <w:kern w:val="0"/>
          <w:sz w:val="24"/>
          <w:szCs w:val="20"/>
          <w:highlight w:val="none"/>
        </w:rPr>
        <w:t xml:space="preserve"> </w:t>
      </w:r>
    </w:p>
    <w:p>
      <w:pPr>
        <w:widowControl/>
        <w:spacing w:line="360" w:lineRule="auto"/>
        <w:ind w:firstLine="480" w:firstLineChars="200"/>
        <w:jc w:val="left"/>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单位性质：</w:t>
      </w:r>
      <w:r>
        <w:rPr>
          <w:rFonts w:hint="eastAsia" w:ascii="仿宋" w:hAnsi="仿宋" w:eastAsia="仿宋" w:cs="仿宋"/>
          <w:color w:val="auto"/>
          <w:kern w:val="0"/>
          <w:sz w:val="24"/>
          <w:szCs w:val="20"/>
          <w:highlight w:val="none"/>
          <w:u w:val="single"/>
        </w:rPr>
        <w:t xml:space="preserve">                                  </w:t>
      </w:r>
      <w:r>
        <w:rPr>
          <w:rFonts w:hint="eastAsia" w:ascii="仿宋" w:hAnsi="仿宋" w:eastAsia="仿宋" w:cs="仿宋"/>
          <w:color w:val="auto"/>
          <w:kern w:val="0"/>
          <w:sz w:val="24"/>
          <w:szCs w:val="20"/>
          <w:highlight w:val="none"/>
        </w:rPr>
        <w:t xml:space="preserve"> </w:t>
      </w:r>
    </w:p>
    <w:p>
      <w:pPr>
        <w:widowControl/>
        <w:spacing w:line="360" w:lineRule="auto"/>
        <w:ind w:firstLine="480" w:firstLineChars="200"/>
        <w:jc w:val="left"/>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地址：</w:t>
      </w:r>
      <w:r>
        <w:rPr>
          <w:rFonts w:hint="eastAsia" w:ascii="仿宋" w:hAnsi="仿宋" w:eastAsia="仿宋" w:cs="仿宋"/>
          <w:color w:val="auto"/>
          <w:kern w:val="0"/>
          <w:sz w:val="24"/>
          <w:szCs w:val="20"/>
          <w:highlight w:val="none"/>
          <w:u w:val="single"/>
        </w:rPr>
        <w:t xml:space="preserve">                                     </w:t>
      </w:r>
      <w:r>
        <w:rPr>
          <w:rFonts w:hint="eastAsia" w:ascii="仿宋" w:hAnsi="仿宋" w:eastAsia="仿宋" w:cs="仿宋"/>
          <w:color w:val="auto"/>
          <w:kern w:val="0"/>
          <w:sz w:val="24"/>
          <w:szCs w:val="20"/>
          <w:highlight w:val="none"/>
        </w:rPr>
        <w:t xml:space="preserve"> </w:t>
      </w:r>
    </w:p>
    <w:p>
      <w:pPr>
        <w:widowControl/>
        <w:spacing w:line="360" w:lineRule="auto"/>
        <w:ind w:firstLine="480" w:firstLineChars="200"/>
        <w:jc w:val="left"/>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成立时间：</w:t>
      </w:r>
      <w:r>
        <w:rPr>
          <w:rFonts w:hint="eastAsia" w:ascii="仿宋" w:hAnsi="仿宋" w:eastAsia="仿宋" w:cs="仿宋"/>
          <w:color w:val="auto"/>
          <w:kern w:val="0"/>
          <w:sz w:val="24"/>
          <w:szCs w:val="20"/>
          <w:highlight w:val="none"/>
          <w:u w:val="single"/>
        </w:rPr>
        <w:t xml:space="preserve">        </w:t>
      </w:r>
      <w:r>
        <w:rPr>
          <w:rFonts w:hint="eastAsia" w:ascii="仿宋" w:hAnsi="仿宋" w:eastAsia="仿宋" w:cs="仿宋"/>
          <w:color w:val="auto"/>
          <w:kern w:val="0"/>
          <w:sz w:val="24"/>
          <w:szCs w:val="20"/>
          <w:highlight w:val="none"/>
        </w:rPr>
        <w:t>年</w:t>
      </w:r>
      <w:r>
        <w:rPr>
          <w:rFonts w:hint="eastAsia" w:ascii="仿宋" w:hAnsi="仿宋" w:eastAsia="仿宋" w:cs="仿宋"/>
          <w:color w:val="auto"/>
          <w:kern w:val="0"/>
          <w:sz w:val="24"/>
          <w:szCs w:val="20"/>
          <w:highlight w:val="none"/>
          <w:u w:val="single"/>
        </w:rPr>
        <w:t xml:space="preserve">    </w:t>
      </w:r>
      <w:r>
        <w:rPr>
          <w:rFonts w:hint="eastAsia" w:ascii="仿宋" w:hAnsi="仿宋" w:eastAsia="仿宋" w:cs="仿宋"/>
          <w:color w:val="auto"/>
          <w:kern w:val="0"/>
          <w:sz w:val="24"/>
          <w:szCs w:val="20"/>
          <w:highlight w:val="none"/>
        </w:rPr>
        <w:t>月</w:t>
      </w:r>
      <w:r>
        <w:rPr>
          <w:rFonts w:hint="eastAsia" w:ascii="仿宋" w:hAnsi="仿宋" w:eastAsia="仿宋" w:cs="仿宋"/>
          <w:color w:val="auto"/>
          <w:kern w:val="0"/>
          <w:sz w:val="24"/>
          <w:szCs w:val="20"/>
          <w:highlight w:val="none"/>
          <w:u w:val="single"/>
        </w:rPr>
        <w:t xml:space="preserve">  </w:t>
      </w:r>
      <w:r>
        <w:rPr>
          <w:rFonts w:hint="eastAsia" w:ascii="仿宋" w:hAnsi="仿宋" w:eastAsia="仿宋" w:cs="仿宋"/>
          <w:color w:val="auto"/>
          <w:kern w:val="0"/>
          <w:sz w:val="24"/>
          <w:szCs w:val="20"/>
          <w:highlight w:val="none"/>
        </w:rPr>
        <w:t>＿日</w:t>
      </w:r>
    </w:p>
    <w:p>
      <w:pPr>
        <w:widowControl/>
        <w:spacing w:line="360" w:lineRule="auto"/>
        <w:ind w:firstLine="480" w:firstLineChars="200"/>
        <w:jc w:val="left"/>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经营期限：</w:t>
      </w:r>
      <w:r>
        <w:rPr>
          <w:rFonts w:hint="eastAsia" w:ascii="仿宋" w:hAnsi="仿宋" w:eastAsia="仿宋" w:cs="仿宋"/>
          <w:color w:val="auto"/>
          <w:kern w:val="0"/>
          <w:sz w:val="24"/>
          <w:szCs w:val="20"/>
          <w:highlight w:val="none"/>
          <w:u w:val="single"/>
        </w:rPr>
        <w:t xml:space="preserve">                                </w:t>
      </w:r>
      <w:r>
        <w:rPr>
          <w:rFonts w:hint="eastAsia" w:ascii="仿宋" w:hAnsi="仿宋" w:eastAsia="仿宋" w:cs="仿宋"/>
          <w:color w:val="auto"/>
          <w:kern w:val="0"/>
          <w:sz w:val="24"/>
          <w:szCs w:val="20"/>
          <w:highlight w:val="none"/>
        </w:rPr>
        <w:t xml:space="preserve"> </w:t>
      </w:r>
    </w:p>
    <w:p>
      <w:pPr>
        <w:widowControl/>
        <w:spacing w:line="360" w:lineRule="auto"/>
        <w:ind w:firstLine="480" w:firstLineChars="200"/>
        <w:jc w:val="left"/>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姓名：</w:t>
      </w:r>
      <w:r>
        <w:rPr>
          <w:rFonts w:hint="eastAsia" w:ascii="仿宋" w:hAnsi="仿宋" w:eastAsia="仿宋" w:cs="仿宋"/>
          <w:color w:val="auto"/>
          <w:kern w:val="0"/>
          <w:sz w:val="24"/>
          <w:szCs w:val="20"/>
          <w:highlight w:val="none"/>
          <w:u w:val="single"/>
        </w:rPr>
        <w:t xml:space="preserve">           </w:t>
      </w:r>
      <w:r>
        <w:rPr>
          <w:rFonts w:hint="eastAsia" w:ascii="仿宋" w:hAnsi="仿宋" w:eastAsia="仿宋" w:cs="仿宋"/>
          <w:color w:val="auto"/>
          <w:kern w:val="0"/>
          <w:sz w:val="24"/>
          <w:szCs w:val="20"/>
          <w:highlight w:val="none"/>
        </w:rPr>
        <w:t>性别：</w:t>
      </w:r>
      <w:r>
        <w:rPr>
          <w:rFonts w:hint="eastAsia" w:ascii="仿宋" w:hAnsi="仿宋" w:eastAsia="仿宋" w:cs="仿宋"/>
          <w:color w:val="auto"/>
          <w:kern w:val="0"/>
          <w:sz w:val="24"/>
          <w:szCs w:val="20"/>
          <w:highlight w:val="none"/>
          <w:u w:val="single"/>
        </w:rPr>
        <w:t xml:space="preserve">        </w:t>
      </w:r>
      <w:r>
        <w:rPr>
          <w:rFonts w:hint="eastAsia" w:ascii="仿宋" w:hAnsi="仿宋" w:eastAsia="仿宋" w:cs="仿宋"/>
          <w:color w:val="auto"/>
          <w:kern w:val="0"/>
          <w:sz w:val="24"/>
          <w:szCs w:val="20"/>
          <w:highlight w:val="none"/>
        </w:rPr>
        <w:t>年龄：</w:t>
      </w:r>
      <w:r>
        <w:rPr>
          <w:rFonts w:hint="eastAsia" w:ascii="仿宋" w:hAnsi="仿宋" w:eastAsia="仿宋" w:cs="仿宋"/>
          <w:color w:val="auto"/>
          <w:kern w:val="0"/>
          <w:sz w:val="24"/>
          <w:szCs w:val="20"/>
          <w:highlight w:val="none"/>
          <w:u w:val="single"/>
        </w:rPr>
        <w:t xml:space="preserve">       </w:t>
      </w:r>
      <w:r>
        <w:rPr>
          <w:rFonts w:hint="eastAsia" w:ascii="仿宋" w:hAnsi="仿宋" w:eastAsia="仿宋" w:cs="仿宋"/>
          <w:color w:val="auto"/>
          <w:kern w:val="0"/>
          <w:sz w:val="24"/>
          <w:szCs w:val="20"/>
          <w:highlight w:val="none"/>
        </w:rPr>
        <w:t>职务：</w:t>
      </w:r>
      <w:r>
        <w:rPr>
          <w:rFonts w:hint="eastAsia" w:ascii="仿宋" w:hAnsi="仿宋" w:eastAsia="仿宋" w:cs="仿宋"/>
          <w:color w:val="auto"/>
          <w:kern w:val="0"/>
          <w:sz w:val="24"/>
          <w:szCs w:val="20"/>
          <w:highlight w:val="none"/>
          <w:u w:val="single"/>
        </w:rPr>
        <w:t xml:space="preserve">       </w:t>
      </w:r>
      <w:r>
        <w:rPr>
          <w:rFonts w:hint="eastAsia" w:ascii="仿宋" w:hAnsi="仿宋" w:eastAsia="仿宋" w:cs="仿宋"/>
          <w:color w:val="auto"/>
          <w:kern w:val="0"/>
          <w:sz w:val="24"/>
          <w:szCs w:val="20"/>
          <w:highlight w:val="none"/>
        </w:rPr>
        <w:t>_</w:t>
      </w:r>
    </w:p>
    <w:p>
      <w:pPr>
        <w:widowControl/>
        <w:spacing w:line="360" w:lineRule="auto"/>
        <w:ind w:firstLine="480" w:firstLineChars="200"/>
        <w:jc w:val="left"/>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系</w:t>
      </w:r>
      <w:r>
        <w:rPr>
          <w:rFonts w:hint="eastAsia" w:ascii="仿宋" w:hAnsi="仿宋" w:eastAsia="仿宋" w:cs="仿宋"/>
          <w:color w:val="auto"/>
          <w:kern w:val="0"/>
          <w:sz w:val="24"/>
          <w:szCs w:val="20"/>
          <w:highlight w:val="none"/>
          <w:u w:val="single"/>
        </w:rPr>
        <w:t xml:space="preserve">                                </w:t>
      </w:r>
      <w:r>
        <w:rPr>
          <w:rFonts w:hint="eastAsia" w:ascii="仿宋" w:hAnsi="仿宋" w:eastAsia="仿宋" w:cs="仿宋"/>
          <w:color w:val="auto"/>
          <w:kern w:val="0"/>
          <w:sz w:val="24"/>
          <w:szCs w:val="20"/>
          <w:highlight w:val="none"/>
        </w:rPr>
        <w:t>（投标人名称）的法定代表人。</w:t>
      </w:r>
    </w:p>
    <w:p>
      <w:pPr>
        <w:widowControl/>
        <w:spacing w:line="360" w:lineRule="auto"/>
        <w:ind w:firstLine="960" w:firstLineChars="400"/>
        <w:jc w:val="left"/>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特此证明。</w:t>
      </w:r>
    </w:p>
    <w:p>
      <w:pPr>
        <w:widowControl/>
        <w:spacing w:line="360" w:lineRule="auto"/>
        <w:ind w:firstLine="480" w:firstLineChars="200"/>
        <w:jc w:val="left"/>
        <w:rPr>
          <w:rFonts w:ascii="仿宋" w:hAnsi="仿宋" w:eastAsia="仿宋" w:cs="仿宋"/>
          <w:color w:val="auto"/>
          <w:kern w:val="0"/>
          <w:sz w:val="24"/>
          <w:szCs w:val="20"/>
          <w:highlight w:val="none"/>
        </w:rPr>
      </w:pPr>
    </w:p>
    <w:p>
      <w:pPr>
        <w:widowControl/>
        <w:spacing w:line="360" w:lineRule="auto"/>
        <w:ind w:firstLine="480" w:firstLineChars="200"/>
        <w:jc w:val="left"/>
        <w:rPr>
          <w:rFonts w:ascii="仿宋" w:hAnsi="仿宋" w:eastAsia="仿宋" w:cs="仿宋"/>
          <w:color w:val="auto"/>
          <w:kern w:val="0"/>
          <w:sz w:val="24"/>
          <w:szCs w:val="20"/>
          <w:highlight w:val="none"/>
        </w:rPr>
      </w:pPr>
    </w:p>
    <w:p>
      <w:pPr>
        <w:widowControl/>
        <w:spacing w:line="360" w:lineRule="auto"/>
        <w:ind w:firstLine="480" w:firstLineChars="200"/>
        <w:jc w:val="left"/>
        <w:rPr>
          <w:rFonts w:ascii="仿宋" w:hAnsi="仿宋" w:eastAsia="仿宋" w:cs="仿宋"/>
          <w:color w:val="auto"/>
          <w:kern w:val="0"/>
          <w:sz w:val="24"/>
          <w:szCs w:val="20"/>
          <w:highlight w:val="none"/>
        </w:rPr>
      </w:pPr>
    </w:p>
    <w:p>
      <w:pPr>
        <w:widowControl/>
        <w:spacing w:line="360" w:lineRule="auto"/>
        <w:ind w:firstLine="2611" w:firstLineChars="1088"/>
        <w:jc w:val="left"/>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rPr>
        <w:t>投标人：</w:t>
      </w:r>
      <w:r>
        <w:rPr>
          <w:rFonts w:hint="eastAsia" w:ascii="仿宋" w:hAnsi="仿宋" w:eastAsia="仿宋" w:cs="仿宋"/>
          <w:color w:val="auto"/>
          <w:kern w:val="0"/>
          <w:sz w:val="24"/>
          <w:szCs w:val="20"/>
          <w:highlight w:val="none"/>
          <w:u w:val="single"/>
        </w:rPr>
        <w:t xml:space="preserve">                      </w:t>
      </w:r>
      <w:r>
        <w:rPr>
          <w:rFonts w:hint="eastAsia" w:ascii="仿宋" w:hAnsi="仿宋" w:eastAsia="仿宋" w:cs="仿宋"/>
          <w:color w:val="auto"/>
          <w:kern w:val="0"/>
          <w:sz w:val="24"/>
          <w:szCs w:val="20"/>
          <w:highlight w:val="none"/>
        </w:rPr>
        <w:t>（投标人公章）</w:t>
      </w:r>
    </w:p>
    <w:p>
      <w:pPr>
        <w:widowControl/>
        <w:spacing w:line="360" w:lineRule="auto"/>
        <w:ind w:firstLine="5160" w:firstLineChars="2150"/>
        <w:jc w:val="left"/>
        <w:rPr>
          <w:rFonts w:ascii="仿宋" w:hAnsi="仿宋" w:eastAsia="仿宋" w:cs="仿宋"/>
          <w:color w:val="auto"/>
          <w:kern w:val="0"/>
          <w:sz w:val="24"/>
          <w:szCs w:val="20"/>
          <w:highlight w:val="none"/>
          <w:u w:val="single"/>
        </w:rPr>
      </w:pPr>
    </w:p>
    <w:p>
      <w:pPr>
        <w:spacing w:line="280" w:lineRule="exact"/>
        <w:ind w:firstLine="3571" w:firstLineChars="1488"/>
        <w:jc w:val="left"/>
        <w:rPr>
          <w:rFonts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u w:val="single"/>
        </w:rPr>
        <w:t xml:space="preserve">        </w:t>
      </w:r>
      <w:r>
        <w:rPr>
          <w:rFonts w:hint="eastAsia" w:ascii="仿宋" w:hAnsi="仿宋" w:eastAsia="仿宋" w:cs="仿宋"/>
          <w:color w:val="auto"/>
          <w:kern w:val="0"/>
          <w:sz w:val="24"/>
          <w:szCs w:val="20"/>
          <w:highlight w:val="none"/>
        </w:rPr>
        <w:t>年</w:t>
      </w:r>
      <w:r>
        <w:rPr>
          <w:rFonts w:hint="eastAsia" w:ascii="仿宋" w:hAnsi="仿宋" w:eastAsia="仿宋" w:cs="仿宋"/>
          <w:color w:val="auto"/>
          <w:kern w:val="0"/>
          <w:sz w:val="24"/>
          <w:szCs w:val="20"/>
          <w:highlight w:val="none"/>
          <w:u w:val="single"/>
        </w:rPr>
        <w:t xml:space="preserve">    </w:t>
      </w:r>
      <w:r>
        <w:rPr>
          <w:rFonts w:hint="eastAsia" w:ascii="仿宋" w:hAnsi="仿宋" w:eastAsia="仿宋" w:cs="仿宋"/>
          <w:color w:val="auto"/>
          <w:kern w:val="0"/>
          <w:sz w:val="24"/>
          <w:szCs w:val="20"/>
          <w:highlight w:val="none"/>
        </w:rPr>
        <w:t>月</w:t>
      </w:r>
      <w:r>
        <w:rPr>
          <w:rFonts w:hint="eastAsia" w:ascii="仿宋" w:hAnsi="仿宋" w:eastAsia="仿宋" w:cs="仿宋"/>
          <w:color w:val="auto"/>
          <w:kern w:val="0"/>
          <w:sz w:val="24"/>
          <w:szCs w:val="20"/>
          <w:highlight w:val="none"/>
          <w:u w:val="single"/>
        </w:rPr>
        <w:t xml:space="preserve">     </w:t>
      </w:r>
      <w:r>
        <w:rPr>
          <w:rFonts w:hint="eastAsia" w:ascii="仿宋" w:hAnsi="仿宋" w:eastAsia="仿宋" w:cs="仿宋"/>
          <w:color w:val="auto"/>
          <w:kern w:val="0"/>
          <w:sz w:val="24"/>
          <w:szCs w:val="20"/>
          <w:highlight w:val="none"/>
        </w:rPr>
        <w:t>日</w:t>
      </w:r>
    </w:p>
    <w:p>
      <w:pPr>
        <w:spacing w:line="280" w:lineRule="exact"/>
        <w:jc w:val="left"/>
        <w:rPr>
          <w:rFonts w:ascii="仿宋" w:hAnsi="仿宋" w:eastAsia="仿宋" w:cs="仿宋"/>
          <w:color w:val="auto"/>
          <w:kern w:val="0"/>
          <w:sz w:val="24"/>
          <w:szCs w:val="20"/>
          <w:highlight w:val="none"/>
        </w:rPr>
      </w:pPr>
    </w:p>
    <w:p>
      <w:pPr>
        <w:spacing w:line="280" w:lineRule="exact"/>
        <w:jc w:val="left"/>
        <w:rPr>
          <w:rFonts w:ascii="仿宋" w:hAnsi="仿宋" w:eastAsia="仿宋" w:cs="仿宋"/>
          <w:color w:val="auto"/>
          <w:kern w:val="0"/>
          <w:sz w:val="24"/>
          <w:szCs w:val="20"/>
          <w:highlight w:val="none"/>
        </w:rPr>
      </w:pPr>
    </w:p>
    <w:p>
      <w:pPr>
        <w:spacing w:line="280" w:lineRule="exact"/>
        <w:jc w:val="left"/>
        <w:rPr>
          <w:rFonts w:ascii="仿宋" w:hAnsi="仿宋" w:eastAsia="仿宋" w:cs="仿宋"/>
          <w:color w:val="auto"/>
          <w:kern w:val="0"/>
          <w:sz w:val="24"/>
          <w:szCs w:val="20"/>
          <w:highlight w:val="none"/>
        </w:rPr>
      </w:pPr>
    </w:p>
    <w:p>
      <w:pPr>
        <w:widowControl/>
        <w:spacing w:line="360" w:lineRule="auto"/>
        <w:jc w:val="left"/>
        <w:rPr>
          <w:rFonts w:ascii="仿宋" w:hAnsi="仿宋" w:eastAsia="仿宋" w:cs="仿宋"/>
          <w:color w:val="auto"/>
          <w:kern w:val="0"/>
          <w:sz w:val="21"/>
          <w:szCs w:val="20"/>
          <w:highlight w:val="none"/>
        </w:rPr>
      </w:pPr>
      <w:r>
        <w:rPr>
          <w:rFonts w:hint="eastAsia" w:ascii="仿宋" w:hAnsi="仿宋" w:eastAsia="仿宋" w:cs="仿宋"/>
          <w:color w:val="auto"/>
          <w:kern w:val="0"/>
          <w:sz w:val="21"/>
          <w:szCs w:val="20"/>
          <w:highlight w:val="none"/>
        </w:rPr>
        <w:t>附：法定代表人身份证件</w:t>
      </w:r>
    </w:p>
    <w:tbl>
      <w:tblPr>
        <w:tblStyle w:val="37"/>
        <w:tblW w:w="93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7"/>
        <w:gridCol w:w="4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8" w:hRule="atLeast"/>
          <w:jc w:val="center"/>
        </w:trPr>
        <w:tc>
          <w:tcPr>
            <w:tcW w:w="4657" w:type="dxa"/>
            <w:vAlign w:val="center"/>
          </w:tcPr>
          <w:p>
            <w:pPr>
              <w:widowControl/>
              <w:spacing w:line="360" w:lineRule="auto"/>
              <w:jc w:val="left"/>
              <w:rPr>
                <w:rFonts w:ascii="仿宋" w:hAnsi="仿宋" w:eastAsia="仿宋" w:cs="仿宋"/>
                <w:color w:val="auto"/>
                <w:kern w:val="0"/>
                <w:sz w:val="21"/>
                <w:szCs w:val="20"/>
                <w:highlight w:val="none"/>
              </w:rPr>
            </w:pPr>
            <w:r>
              <w:rPr>
                <w:rFonts w:hint="eastAsia" w:ascii="仿宋" w:hAnsi="仿宋" w:eastAsia="仿宋" w:cs="仿宋"/>
                <w:color w:val="auto"/>
                <w:kern w:val="0"/>
                <w:sz w:val="21"/>
                <w:szCs w:val="20"/>
                <w:highlight w:val="none"/>
              </w:rPr>
              <w:t>法定代表人身份证（正面）</w:t>
            </w:r>
          </w:p>
        </w:tc>
        <w:tc>
          <w:tcPr>
            <w:tcW w:w="4657" w:type="dxa"/>
            <w:vAlign w:val="center"/>
          </w:tcPr>
          <w:p>
            <w:pPr>
              <w:widowControl/>
              <w:spacing w:line="360" w:lineRule="auto"/>
              <w:jc w:val="left"/>
              <w:rPr>
                <w:rFonts w:ascii="仿宋" w:hAnsi="仿宋" w:eastAsia="仿宋" w:cs="仿宋"/>
                <w:color w:val="auto"/>
                <w:kern w:val="0"/>
                <w:sz w:val="21"/>
                <w:szCs w:val="20"/>
                <w:highlight w:val="none"/>
              </w:rPr>
            </w:pPr>
            <w:r>
              <w:rPr>
                <w:rFonts w:hint="eastAsia" w:ascii="仿宋" w:hAnsi="仿宋" w:eastAsia="仿宋" w:cs="仿宋"/>
                <w:color w:val="auto"/>
                <w:kern w:val="0"/>
                <w:sz w:val="21"/>
                <w:szCs w:val="20"/>
                <w:highlight w:val="none"/>
              </w:rPr>
              <w:t>法定代表人身份证（反面）</w:t>
            </w:r>
          </w:p>
        </w:tc>
      </w:tr>
    </w:tbl>
    <w:p>
      <w:pPr>
        <w:spacing w:line="280" w:lineRule="exact"/>
        <w:jc w:val="left"/>
        <w:rPr>
          <w:rFonts w:ascii="仿宋" w:hAnsi="仿宋" w:eastAsia="仿宋" w:cs="仿宋"/>
          <w:color w:val="auto"/>
          <w:kern w:val="0"/>
          <w:sz w:val="24"/>
          <w:szCs w:val="20"/>
          <w:highlight w:val="none"/>
        </w:rPr>
      </w:pPr>
    </w:p>
    <w:p>
      <w:pPr>
        <w:spacing w:line="280" w:lineRule="exact"/>
        <w:jc w:val="left"/>
        <w:rPr>
          <w:rFonts w:ascii="仿宋" w:hAnsi="仿宋" w:eastAsia="仿宋" w:cs="仿宋"/>
          <w:color w:val="auto"/>
          <w:highlight w:val="none"/>
        </w:rPr>
      </w:pPr>
      <w:r>
        <w:rPr>
          <w:rFonts w:hint="eastAsia" w:ascii="仿宋" w:hAnsi="仿宋" w:eastAsia="仿宋" w:cs="仿宋"/>
          <w:color w:val="auto"/>
          <w:kern w:val="0"/>
          <w:sz w:val="24"/>
          <w:szCs w:val="20"/>
          <w:highlight w:val="none"/>
        </w:rPr>
        <w:t>注：此处所述“法定代表人”须与投标人“营业执照”上的内容一致。</w:t>
      </w:r>
    </w:p>
    <w:p>
      <w:pPr>
        <w:pStyle w:val="34"/>
        <w:spacing w:line="360" w:lineRule="auto"/>
        <w:outlineLvl w:val="1"/>
        <w:rPr>
          <w:rFonts w:ascii="仿宋" w:hAnsi="仿宋" w:eastAsia="仿宋" w:cs="仿宋"/>
          <w:b w:val="0"/>
          <w:color w:val="auto"/>
          <w:sz w:val="28"/>
          <w:szCs w:val="28"/>
          <w:highlight w:val="none"/>
        </w:rPr>
      </w:pPr>
      <w:bookmarkStart w:id="96" w:name="_Toc7467"/>
      <w:r>
        <w:rPr>
          <w:rFonts w:hint="eastAsia" w:ascii="仿宋" w:hAnsi="仿宋" w:eastAsia="仿宋" w:cs="仿宋"/>
          <w:b w:val="0"/>
          <w:color w:val="auto"/>
          <w:sz w:val="28"/>
          <w:szCs w:val="28"/>
          <w:highlight w:val="none"/>
        </w:rPr>
        <w:t>附件4：法定代表人授权委托书</w:t>
      </w:r>
      <w:bookmarkEnd w:id="95"/>
      <w:bookmarkEnd w:id="96"/>
    </w:p>
    <w:p>
      <w:pPr>
        <w:tabs>
          <w:tab w:val="left" w:pos="0"/>
          <w:tab w:val="left" w:pos="720"/>
          <w:tab w:val="left" w:pos="1440"/>
          <w:tab w:val="left" w:pos="2160"/>
          <w:tab w:val="left" w:pos="2880"/>
          <w:tab w:val="left" w:pos="3600"/>
          <w:tab w:val="left" w:pos="4320"/>
        </w:tabs>
        <w:autoSpaceDE w:val="0"/>
        <w:autoSpaceDN w:val="0"/>
        <w:adjustRightInd w:val="0"/>
        <w:spacing w:line="360" w:lineRule="auto"/>
        <w:jc w:val="left"/>
        <w:rPr>
          <w:rFonts w:ascii="仿宋" w:hAnsi="仿宋" w:eastAsia="仿宋" w:cs="仿宋"/>
          <w:b/>
          <w:bCs/>
          <w:color w:val="auto"/>
          <w:sz w:val="30"/>
          <w:szCs w:val="30"/>
          <w:highlight w:val="none"/>
        </w:rPr>
      </w:pP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602" w:firstLineChars="200"/>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法定代表人授权委托书</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color w:val="auto"/>
          <w:sz w:val="24"/>
          <w:szCs w:val="24"/>
          <w:highlight w:val="none"/>
        </w:rPr>
      </w:pPr>
    </w:p>
    <w:p>
      <w:pPr>
        <w:pStyle w:val="17"/>
        <w:tabs>
          <w:tab w:val="left" w:pos="382"/>
        </w:tabs>
        <w:snapToGrid w:val="0"/>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（投标人名称）法定代表人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，现授权委托</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 （单位名称）的</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（姓名、职务）为我公司全权代理人，以本公司的名义参加中国石油大学（华东）组织的本次招标项目，全权处理招标过程有关的一切事务。授权代理人在本项目执行过程中所签署的一切文件，我均予以承认。</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color w:val="auto"/>
          <w:sz w:val="24"/>
          <w:szCs w:val="24"/>
          <w:highlight w:val="none"/>
        </w:rPr>
      </w:pP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特此委托。</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color w:val="auto"/>
          <w:sz w:val="24"/>
          <w:szCs w:val="24"/>
          <w:highlight w:val="none"/>
        </w:rPr>
      </w:pP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全权代表姓名：     性别：     年龄： </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单位：             部门：     职务</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投标人（公章）：</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法定代表人（签字）：</w:t>
      </w:r>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日期：   年   月   日</w:t>
      </w:r>
      <w:bookmarkStart w:id="97" w:name="_Toc323129569"/>
      <w:bookmarkStart w:id="98" w:name="_Toc323130136"/>
      <w:bookmarkStart w:id="99" w:name="_Toc325620730"/>
    </w:p>
    <w:p>
      <w:pPr>
        <w:tabs>
          <w:tab w:val="left" w:pos="0"/>
          <w:tab w:val="left" w:pos="720"/>
          <w:tab w:val="left" w:pos="1440"/>
          <w:tab w:val="left" w:pos="2160"/>
          <w:tab w:val="left" w:pos="2880"/>
          <w:tab w:val="left" w:pos="3600"/>
          <w:tab w:val="left" w:pos="4320"/>
        </w:tabs>
        <w:autoSpaceDE w:val="0"/>
        <w:autoSpaceDN w:val="0"/>
        <w:adjustRightInd w:val="0"/>
        <w:spacing w:line="440" w:lineRule="exact"/>
        <w:ind w:firstLine="480" w:firstLineChars="200"/>
        <w:jc w:val="left"/>
        <w:rPr>
          <w:rFonts w:ascii="仿宋" w:hAnsi="仿宋" w:eastAsia="仿宋" w:cs="仿宋"/>
          <w:color w:val="auto"/>
          <w:sz w:val="24"/>
          <w:szCs w:val="24"/>
          <w:highlight w:val="none"/>
        </w:rPr>
      </w:pPr>
    </w:p>
    <w:p>
      <w:pPr>
        <w:widowControl/>
        <w:spacing w:line="360" w:lineRule="auto"/>
        <w:jc w:val="left"/>
        <w:rPr>
          <w:rFonts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附：被授权人身份证件</w:t>
      </w:r>
    </w:p>
    <w:tbl>
      <w:tblPr>
        <w:tblStyle w:val="37"/>
        <w:tblW w:w="91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3"/>
        <w:gridCol w:w="4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1" w:hRule="atLeast"/>
          <w:jc w:val="center"/>
        </w:trPr>
        <w:tc>
          <w:tcPr>
            <w:tcW w:w="4533" w:type="dxa"/>
            <w:vAlign w:val="center"/>
          </w:tcPr>
          <w:p>
            <w:pPr>
              <w:widowControl/>
              <w:spacing w:line="360" w:lineRule="auto"/>
              <w:jc w:val="left"/>
              <w:rPr>
                <w:rFonts w:ascii="仿宋" w:hAnsi="仿宋" w:eastAsia="仿宋" w:cs="仿宋"/>
                <w:color w:val="auto"/>
                <w:kern w:val="0"/>
                <w:sz w:val="21"/>
                <w:szCs w:val="20"/>
                <w:highlight w:val="none"/>
              </w:rPr>
            </w:pPr>
            <w:r>
              <w:rPr>
                <w:rFonts w:hint="eastAsia" w:ascii="仿宋" w:hAnsi="仿宋" w:eastAsia="仿宋" w:cs="仿宋"/>
                <w:color w:val="auto"/>
                <w:kern w:val="0"/>
                <w:sz w:val="21"/>
                <w:szCs w:val="20"/>
                <w:highlight w:val="none"/>
              </w:rPr>
              <w:t>被授权人身份证件（正面）</w:t>
            </w:r>
          </w:p>
        </w:tc>
        <w:tc>
          <w:tcPr>
            <w:tcW w:w="4604" w:type="dxa"/>
            <w:vAlign w:val="center"/>
          </w:tcPr>
          <w:p>
            <w:pPr>
              <w:widowControl/>
              <w:spacing w:line="360" w:lineRule="auto"/>
              <w:jc w:val="left"/>
              <w:rPr>
                <w:rFonts w:ascii="仿宋" w:hAnsi="仿宋" w:eastAsia="仿宋" w:cs="仿宋"/>
                <w:color w:val="auto"/>
                <w:kern w:val="0"/>
                <w:sz w:val="21"/>
                <w:szCs w:val="20"/>
                <w:highlight w:val="none"/>
              </w:rPr>
            </w:pPr>
            <w:r>
              <w:rPr>
                <w:rFonts w:hint="eastAsia" w:ascii="仿宋" w:hAnsi="仿宋" w:eastAsia="仿宋" w:cs="仿宋"/>
                <w:color w:val="auto"/>
                <w:kern w:val="0"/>
                <w:sz w:val="21"/>
                <w:szCs w:val="20"/>
                <w:highlight w:val="none"/>
              </w:rPr>
              <w:t>被授权人身份证件（反面）</w:t>
            </w:r>
          </w:p>
        </w:tc>
      </w:tr>
    </w:tbl>
    <w:p>
      <w:pPr>
        <w:tabs>
          <w:tab w:val="left" w:pos="0"/>
          <w:tab w:val="left" w:pos="720"/>
          <w:tab w:val="left" w:pos="1440"/>
          <w:tab w:val="left" w:pos="2160"/>
          <w:tab w:val="left" w:pos="2880"/>
          <w:tab w:val="left" w:pos="3600"/>
          <w:tab w:val="left" w:pos="4320"/>
        </w:tabs>
        <w:autoSpaceDE w:val="0"/>
        <w:autoSpaceDN w:val="0"/>
        <w:adjustRightInd w:val="0"/>
        <w:spacing w:line="360" w:lineRule="auto"/>
        <w:jc w:val="left"/>
        <w:rPr>
          <w:rFonts w:ascii="仿宋" w:hAnsi="仿宋" w:eastAsia="仿宋" w:cs="仿宋"/>
          <w:color w:val="auto"/>
          <w:sz w:val="24"/>
          <w:szCs w:val="24"/>
          <w:highlight w:val="none"/>
        </w:rPr>
      </w:pPr>
    </w:p>
    <w:p>
      <w:pPr>
        <w:pStyle w:val="34"/>
        <w:spacing w:line="360" w:lineRule="auto"/>
        <w:outlineLvl w:val="9"/>
        <w:rPr>
          <w:rFonts w:ascii="仿宋" w:hAnsi="仿宋" w:eastAsia="仿宋" w:cs="仿宋"/>
          <w:color w:val="auto"/>
          <w:sz w:val="30"/>
          <w:szCs w:val="30"/>
          <w:highlight w:val="none"/>
        </w:rPr>
      </w:pPr>
    </w:p>
    <w:p>
      <w:pPr>
        <w:pStyle w:val="34"/>
        <w:spacing w:line="360" w:lineRule="auto"/>
        <w:outlineLvl w:val="9"/>
        <w:rPr>
          <w:rFonts w:ascii="仿宋" w:hAnsi="仿宋" w:eastAsia="仿宋" w:cs="仿宋"/>
          <w:color w:val="auto"/>
          <w:sz w:val="30"/>
          <w:szCs w:val="30"/>
          <w:highlight w:val="none"/>
        </w:rPr>
        <w:sectPr>
          <w:headerReference r:id="rId4" w:type="default"/>
          <w:footerReference r:id="rId5" w:type="default"/>
          <w:pgSz w:w="11907" w:h="16840"/>
          <w:pgMar w:top="1418" w:right="1418" w:bottom="1247" w:left="1622" w:header="851" w:footer="851" w:gutter="0"/>
          <w:cols w:space="720" w:num="1"/>
          <w:docGrid w:linePitch="381" w:charSpace="-3931"/>
        </w:sectPr>
      </w:pPr>
    </w:p>
    <w:p>
      <w:pPr>
        <w:pStyle w:val="34"/>
        <w:spacing w:line="360" w:lineRule="auto"/>
        <w:outlineLvl w:val="1"/>
        <w:rPr>
          <w:rFonts w:ascii="仿宋" w:hAnsi="仿宋" w:eastAsia="仿宋" w:cs="仿宋"/>
          <w:b w:val="0"/>
          <w:color w:val="auto"/>
          <w:sz w:val="28"/>
          <w:szCs w:val="28"/>
          <w:highlight w:val="none"/>
        </w:rPr>
      </w:pPr>
      <w:bookmarkStart w:id="100" w:name="_Toc10655"/>
      <w:r>
        <w:rPr>
          <w:rFonts w:hint="eastAsia" w:ascii="仿宋" w:hAnsi="仿宋" w:eastAsia="仿宋" w:cs="仿宋"/>
          <w:b w:val="0"/>
          <w:color w:val="auto"/>
          <w:sz w:val="28"/>
          <w:szCs w:val="28"/>
          <w:highlight w:val="none"/>
        </w:rPr>
        <w:t>附件5：报价一览表</w:t>
      </w:r>
      <w:bookmarkEnd w:id="100"/>
    </w:p>
    <w:p>
      <w:pPr>
        <w:widowControl/>
        <w:jc w:val="left"/>
        <w:rPr>
          <w:rFonts w:ascii="仿宋" w:hAnsi="仿宋" w:eastAsia="仿宋" w:cs="仿宋"/>
          <w:b/>
          <w:color w:val="auto"/>
          <w:sz w:val="30"/>
          <w:szCs w:val="30"/>
          <w:highlight w:val="none"/>
        </w:rPr>
      </w:pPr>
    </w:p>
    <w:p>
      <w:pPr>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报价一览表</w:t>
      </w:r>
    </w:p>
    <w:p>
      <w:pPr>
        <w:tabs>
          <w:tab w:val="left" w:pos="0"/>
          <w:tab w:val="left" w:pos="720"/>
          <w:tab w:val="left" w:pos="1440"/>
          <w:tab w:val="left" w:pos="2160"/>
          <w:tab w:val="left" w:pos="2880"/>
          <w:tab w:val="left" w:pos="3600"/>
          <w:tab w:val="left" w:pos="4320"/>
        </w:tabs>
        <w:autoSpaceDE w:val="0"/>
        <w:autoSpaceDN w:val="0"/>
        <w:adjustRightInd w:val="0"/>
        <w:spacing w:line="360" w:lineRule="auto"/>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项目编号：</w:t>
      </w:r>
      <w:r>
        <w:rPr>
          <w:rFonts w:hint="eastAsia" w:ascii="仿宋" w:hAnsi="仿宋" w:eastAsia="仿宋" w:cs="仿宋"/>
          <w:color w:val="auto"/>
          <w:sz w:val="24"/>
          <w:szCs w:val="24"/>
          <w:highlight w:val="none"/>
          <w:u w:val="single"/>
        </w:rPr>
        <w:t xml:space="preserve">SHSDZB2022-017     </w:t>
      </w:r>
      <w:r>
        <w:rPr>
          <w:rFonts w:hint="eastAsia" w:ascii="仿宋" w:hAnsi="仿宋" w:eastAsia="仿宋" w:cs="仿宋"/>
          <w:color w:val="auto"/>
          <w:sz w:val="24"/>
          <w:szCs w:val="24"/>
          <w:highlight w:val="none"/>
        </w:rPr>
        <w:t xml:space="preserve">                                          </w:t>
      </w:r>
    </w:p>
    <w:p>
      <w:pPr>
        <w:tabs>
          <w:tab w:val="left" w:pos="0"/>
          <w:tab w:val="left" w:pos="720"/>
          <w:tab w:val="left" w:pos="1440"/>
          <w:tab w:val="left" w:pos="2160"/>
          <w:tab w:val="left" w:pos="2880"/>
          <w:tab w:val="left" w:pos="3600"/>
          <w:tab w:val="left" w:pos="4320"/>
        </w:tabs>
        <w:autoSpaceDE w:val="0"/>
        <w:autoSpaceDN w:val="0"/>
        <w:adjustRightInd w:val="0"/>
        <w:spacing w:line="360" w:lineRule="auto"/>
        <w:jc w:val="left"/>
        <w:rPr>
          <w:rFonts w:ascii="仿宋" w:hAnsi="仿宋" w:eastAsia="仿宋" w:cs="仿宋"/>
          <w:color w:val="auto"/>
          <w:sz w:val="24"/>
          <w:szCs w:val="24"/>
          <w:highlight w:val="none"/>
        </w:rPr>
      </w:pPr>
      <w:r>
        <w:rPr>
          <w:rFonts w:ascii="仿宋" w:hAnsi="仿宋" w:eastAsia="仿宋" w:cs="仿宋"/>
          <w:color w:val="auto"/>
          <w:sz w:val="24"/>
          <w:szCs w:val="24"/>
          <w:highlight w:val="none"/>
        </w:rPr>
        <w:t>项目名称</w:t>
      </w:r>
      <w:r>
        <w:rPr>
          <w:rFonts w:hint="eastAsia" w:ascii="仿宋" w:hAnsi="仿宋" w:eastAsia="仿宋" w:cs="仿宋"/>
          <w:color w:val="auto"/>
          <w:sz w:val="24"/>
          <w:szCs w:val="24"/>
          <w:highlight w:val="none"/>
        </w:rPr>
        <w:t xml:space="preserve">：古镇口校区青年教师宿舍橱柜 </w:t>
      </w:r>
    </w:p>
    <w:p>
      <w:pPr>
        <w:tabs>
          <w:tab w:val="left" w:pos="0"/>
          <w:tab w:val="left" w:pos="720"/>
          <w:tab w:val="left" w:pos="1440"/>
          <w:tab w:val="left" w:pos="2160"/>
          <w:tab w:val="left" w:pos="2880"/>
          <w:tab w:val="left" w:pos="3600"/>
          <w:tab w:val="left" w:pos="4320"/>
        </w:tabs>
        <w:autoSpaceDE w:val="0"/>
        <w:autoSpaceDN w:val="0"/>
        <w:adjustRightInd w:val="0"/>
        <w:spacing w:line="360" w:lineRule="auto"/>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单位：</w:t>
      </w:r>
    </w:p>
    <w:p>
      <w:pPr>
        <w:pStyle w:val="27"/>
        <w:rPr>
          <w:color w:val="auto"/>
          <w:highlight w:val="none"/>
        </w:rPr>
      </w:pPr>
    </w:p>
    <w:tbl>
      <w:tblPr>
        <w:tblStyle w:val="37"/>
        <w:tblW w:w="92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2"/>
        <w:gridCol w:w="35"/>
        <w:gridCol w:w="3367"/>
        <w:gridCol w:w="29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297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440" w:lineRule="exact"/>
              <w:jc w:val="center"/>
              <w:rPr>
                <w:rFonts w:hAnsi="宋体" w:cs="Times New Roman"/>
                <w:color w:val="auto"/>
                <w:sz w:val="24"/>
                <w:szCs w:val="24"/>
                <w:highlight w:val="none"/>
              </w:rPr>
            </w:pPr>
            <w:r>
              <w:rPr>
                <w:rFonts w:hint="eastAsia" w:hAnsi="宋体" w:cs="Times New Roman"/>
                <w:color w:val="auto"/>
                <w:sz w:val="24"/>
                <w:szCs w:val="24"/>
                <w:highlight w:val="none"/>
              </w:rPr>
              <w:t>质保期</w:t>
            </w:r>
          </w:p>
        </w:tc>
        <w:tc>
          <w:tcPr>
            <w:tcW w:w="3402"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440" w:lineRule="exact"/>
              <w:jc w:val="center"/>
              <w:rPr>
                <w:rFonts w:hAnsi="宋体" w:cs="Times New Roman"/>
                <w:color w:val="auto"/>
                <w:sz w:val="24"/>
                <w:szCs w:val="24"/>
                <w:highlight w:val="none"/>
              </w:rPr>
            </w:pPr>
            <w:r>
              <w:rPr>
                <w:rFonts w:hint="eastAsia" w:hAnsi="宋体" w:cs="Times New Roman"/>
                <w:color w:val="auto"/>
                <w:sz w:val="24"/>
                <w:szCs w:val="24"/>
                <w:highlight w:val="none"/>
              </w:rPr>
              <w:t>到货期</w:t>
            </w:r>
          </w:p>
        </w:tc>
        <w:tc>
          <w:tcPr>
            <w:tcW w:w="291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440" w:lineRule="exact"/>
              <w:jc w:val="center"/>
              <w:rPr>
                <w:rFonts w:hAnsi="宋体" w:cs="Times New Roman"/>
                <w:color w:val="auto"/>
                <w:sz w:val="24"/>
                <w:szCs w:val="24"/>
                <w:highlight w:val="none"/>
              </w:rPr>
            </w:pPr>
            <w:r>
              <w:rPr>
                <w:rFonts w:hint="eastAsia" w:hAnsi="宋体" w:cs="Times New Roman"/>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trPr>
        <w:tc>
          <w:tcPr>
            <w:tcW w:w="297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440" w:lineRule="exact"/>
              <w:jc w:val="right"/>
              <w:rPr>
                <w:rFonts w:hAnsi="宋体" w:cs="Times New Roman"/>
                <w:color w:val="auto"/>
                <w:sz w:val="24"/>
                <w:szCs w:val="24"/>
                <w:highlight w:val="none"/>
              </w:rPr>
            </w:pPr>
            <w:r>
              <w:rPr>
                <w:rFonts w:hint="eastAsia" w:hAnsi="宋体" w:cs="Times New Roman"/>
                <w:color w:val="auto"/>
                <w:sz w:val="24"/>
                <w:szCs w:val="24"/>
                <w:highlight w:val="none"/>
              </w:rPr>
              <w:t>年</w:t>
            </w:r>
          </w:p>
        </w:tc>
        <w:tc>
          <w:tcPr>
            <w:tcW w:w="3402"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440" w:lineRule="exact"/>
              <w:jc w:val="right"/>
              <w:rPr>
                <w:rFonts w:hAnsi="宋体" w:cs="Times New Roman"/>
                <w:color w:val="auto"/>
                <w:sz w:val="24"/>
                <w:szCs w:val="24"/>
                <w:highlight w:val="none"/>
              </w:rPr>
            </w:pPr>
            <w:r>
              <w:rPr>
                <w:rFonts w:hint="eastAsia" w:hAnsi="宋体" w:cs="Times New Roman"/>
                <w:color w:val="auto"/>
                <w:sz w:val="24"/>
                <w:szCs w:val="24"/>
                <w:highlight w:val="none"/>
              </w:rPr>
              <w:t>天</w:t>
            </w:r>
          </w:p>
        </w:tc>
        <w:tc>
          <w:tcPr>
            <w:tcW w:w="291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440" w:lineRule="exact"/>
              <w:jc w:val="center"/>
              <w:rPr>
                <w:rFonts w:hAnsi="宋体" w:cs="Times New Roman"/>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rPr>
        <w:tc>
          <w:tcPr>
            <w:tcW w:w="3007" w:type="dxa"/>
            <w:gridSpan w:val="2"/>
            <w:vMerge w:val="restart"/>
            <w:tcBorders>
              <w:top w:val="nil"/>
              <w:left w:val="single" w:color="auto" w:sz="4" w:space="0"/>
              <w:bottom w:val="single" w:color="auto" w:sz="4" w:space="0"/>
              <w:right w:val="single" w:color="auto" w:sz="4" w:space="0"/>
            </w:tcBorders>
            <w:vAlign w:val="center"/>
          </w:tcPr>
          <w:p>
            <w:pPr>
              <w:spacing w:line="440" w:lineRule="exact"/>
              <w:jc w:val="center"/>
              <w:rPr>
                <w:rFonts w:hAnsi="宋体"/>
                <w:color w:val="auto"/>
                <w:sz w:val="24"/>
                <w:szCs w:val="24"/>
                <w:highlight w:val="none"/>
              </w:rPr>
            </w:pPr>
            <w:r>
              <w:rPr>
                <w:rFonts w:hint="eastAsia" w:hAnsi="宋体" w:cs="Times New Roman"/>
                <w:color w:val="auto"/>
                <w:sz w:val="24"/>
                <w:szCs w:val="24"/>
                <w:highlight w:val="none"/>
              </w:rPr>
              <w:t>含税总报价（元）</w:t>
            </w:r>
          </w:p>
        </w:tc>
        <w:tc>
          <w:tcPr>
            <w:tcW w:w="6278"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rPr>
                <w:rFonts w:hAnsi="宋体"/>
                <w:color w:val="auto"/>
                <w:sz w:val="24"/>
                <w:szCs w:val="24"/>
                <w:highlight w:val="none"/>
              </w:rPr>
            </w:pPr>
            <w:r>
              <w:rPr>
                <w:rFonts w:hint="eastAsia" w:hAnsi="宋体"/>
                <w:color w:val="auto"/>
                <w:sz w:val="24"/>
                <w:szCs w:val="24"/>
                <w:highlight w:val="none"/>
              </w:rPr>
              <w:t>小写（元）：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rPr>
        <w:tc>
          <w:tcPr>
            <w:tcW w:w="3007" w:type="dxa"/>
            <w:gridSpan w:val="2"/>
            <w:vMerge w:val="continue"/>
            <w:tcBorders>
              <w:top w:val="nil"/>
              <w:left w:val="single" w:color="auto" w:sz="4" w:space="0"/>
              <w:bottom w:val="single" w:color="auto" w:sz="4" w:space="0"/>
              <w:right w:val="single" w:color="auto" w:sz="4" w:space="0"/>
            </w:tcBorders>
            <w:vAlign w:val="center"/>
          </w:tcPr>
          <w:p>
            <w:pPr>
              <w:widowControl/>
              <w:jc w:val="left"/>
              <w:rPr>
                <w:rFonts w:hAnsi="宋体"/>
                <w:color w:val="auto"/>
                <w:sz w:val="24"/>
                <w:szCs w:val="24"/>
                <w:highlight w:val="none"/>
              </w:rPr>
            </w:pPr>
          </w:p>
        </w:tc>
        <w:tc>
          <w:tcPr>
            <w:tcW w:w="6278"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rPr>
                <w:rFonts w:hAnsi="宋体"/>
                <w:color w:val="auto"/>
                <w:sz w:val="24"/>
                <w:szCs w:val="24"/>
                <w:highlight w:val="none"/>
              </w:rPr>
            </w:pPr>
            <w:r>
              <w:rPr>
                <w:rFonts w:hint="eastAsia" w:hAnsi="宋体"/>
                <w:color w:val="auto"/>
                <w:sz w:val="24"/>
                <w:szCs w:val="24"/>
                <w:highlight w:val="none"/>
              </w:rPr>
              <w:t>大写（元）：</w:t>
            </w:r>
          </w:p>
        </w:tc>
      </w:tr>
    </w:tbl>
    <w:p>
      <w:pPr>
        <w:spacing w:line="400" w:lineRule="exact"/>
        <w:jc w:val="left"/>
        <w:rPr>
          <w:rFonts w:ascii="仿宋" w:hAnsi="仿宋" w:eastAsia="仿宋" w:cs="仿宋"/>
          <w:b/>
          <w:bCs/>
          <w:color w:val="auto"/>
          <w:sz w:val="24"/>
          <w:szCs w:val="24"/>
          <w:highlight w:val="none"/>
        </w:rPr>
      </w:pPr>
    </w:p>
    <w:p>
      <w:pPr>
        <w:spacing w:line="400" w:lineRule="exact"/>
        <w:jc w:val="left"/>
        <w:rPr>
          <w:rFonts w:ascii="仿宋" w:hAnsi="仿宋" w:eastAsia="仿宋" w:cs="仿宋"/>
          <w:b/>
          <w:bCs/>
          <w:color w:val="auto"/>
          <w:sz w:val="24"/>
          <w:szCs w:val="24"/>
          <w:highlight w:val="none"/>
        </w:rPr>
      </w:pPr>
    </w:p>
    <w:p>
      <w:pPr>
        <w:spacing w:line="400" w:lineRule="exact"/>
        <w:jc w:val="left"/>
        <w:rPr>
          <w:rFonts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注：</w:t>
      </w:r>
      <w:r>
        <w:rPr>
          <w:rFonts w:hint="eastAsia" w:ascii="仿宋" w:hAnsi="仿宋" w:eastAsia="仿宋" w:cs="仿宋"/>
          <w:color w:val="auto"/>
          <w:sz w:val="24"/>
          <w:szCs w:val="24"/>
          <w:highlight w:val="none"/>
        </w:rPr>
        <w:t>1.报价一览表必须由法定代表人或授权代表签字，并加盖单位公章；</w:t>
      </w:r>
    </w:p>
    <w:p>
      <w:pPr>
        <w:spacing w:line="40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2.本表只能打印，不得手写，请完整、准确、清晰地填写表中内容；</w:t>
      </w:r>
    </w:p>
    <w:p>
      <w:pPr>
        <w:spacing w:line="40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3.以上报价包含设备运输到货、卸货、培训及质保服务等所有相关费用（详见招标文件）。</w:t>
      </w:r>
    </w:p>
    <w:p>
      <w:pPr>
        <w:pStyle w:val="27"/>
        <w:rPr>
          <w:color w:val="auto"/>
          <w:highlight w:val="none"/>
        </w:rPr>
      </w:pPr>
    </w:p>
    <w:p>
      <w:pPr>
        <w:rPr>
          <w:color w:val="auto"/>
          <w:highlight w:val="none"/>
        </w:rPr>
      </w:pPr>
    </w:p>
    <w:p>
      <w:pPr>
        <w:pStyle w:val="27"/>
        <w:rPr>
          <w:color w:val="auto"/>
          <w:highlight w:val="none"/>
        </w:rPr>
      </w:pPr>
    </w:p>
    <w:p>
      <w:pPr>
        <w:pStyle w:val="27"/>
        <w:rPr>
          <w:color w:val="auto"/>
          <w:highlight w:val="none"/>
        </w:rPr>
      </w:pPr>
    </w:p>
    <w:p>
      <w:pPr>
        <w:spacing w:line="400" w:lineRule="exact"/>
        <w:ind w:right="48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投标人名称（公章）：</w:t>
      </w:r>
    </w:p>
    <w:p>
      <w:pPr>
        <w:spacing w:line="400" w:lineRule="exact"/>
        <w:ind w:right="48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投标人法定代表人或者被授权代表（签字）：</w:t>
      </w:r>
    </w:p>
    <w:p>
      <w:pPr>
        <w:spacing w:line="400" w:lineRule="exact"/>
        <w:ind w:right="48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r>
        <w:rPr>
          <w:rFonts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rPr>
        <w:t xml:space="preserve">         日期：</w:t>
      </w:r>
    </w:p>
    <w:p>
      <w:pPr>
        <w:pStyle w:val="34"/>
        <w:spacing w:line="360" w:lineRule="auto"/>
        <w:outlineLvl w:val="1"/>
        <w:rPr>
          <w:rFonts w:ascii="仿宋" w:hAnsi="仿宋" w:eastAsia="仿宋" w:cs="仿宋"/>
          <w:color w:val="auto"/>
          <w:sz w:val="30"/>
          <w:szCs w:val="30"/>
          <w:highlight w:val="none"/>
        </w:rPr>
        <w:sectPr>
          <w:pgSz w:w="11907" w:h="16840"/>
          <w:pgMar w:top="1418" w:right="1418" w:bottom="1247" w:left="1622" w:header="851" w:footer="851" w:gutter="0"/>
          <w:cols w:space="720" w:num="1"/>
          <w:docGrid w:linePitch="381" w:charSpace="-3931"/>
        </w:sectPr>
      </w:pPr>
    </w:p>
    <w:bookmarkEnd w:id="97"/>
    <w:bookmarkEnd w:id="98"/>
    <w:bookmarkEnd w:id="99"/>
    <w:p>
      <w:pPr>
        <w:pStyle w:val="34"/>
        <w:spacing w:line="360" w:lineRule="auto"/>
        <w:outlineLvl w:val="1"/>
        <w:rPr>
          <w:rFonts w:ascii="仿宋" w:hAnsi="仿宋" w:eastAsia="仿宋" w:cs="仿宋"/>
          <w:b w:val="0"/>
          <w:color w:val="auto"/>
          <w:sz w:val="28"/>
          <w:szCs w:val="28"/>
          <w:highlight w:val="none"/>
        </w:rPr>
      </w:pPr>
      <w:bookmarkStart w:id="101" w:name="_Toc323129570"/>
      <w:bookmarkStart w:id="102" w:name="_Toc323130137"/>
      <w:bookmarkStart w:id="103" w:name="_Toc325620731"/>
      <w:bookmarkStart w:id="104" w:name="_Toc13790"/>
      <w:r>
        <w:rPr>
          <w:rFonts w:hint="eastAsia" w:ascii="仿宋" w:hAnsi="仿宋" w:eastAsia="仿宋" w:cs="仿宋"/>
          <w:b w:val="0"/>
          <w:color w:val="auto"/>
          <w:sz w:val="28"/>
          <w:szCs w:val="28"/>
          <w:highlight w:val="none"/>
        </w:rPr>
        <w:t>附件</w:t>
      </w:r>
      <w:bookmarkEnd w:id="101"/>
      <w:bookmarkEnd w:id="102"/>
      <w:r>
        <w:rPr>
          <w:rFonts w:hint="eastAsia" w:ascii="仿宋" w:hAnsi="仿宋" w:eastAsia="仿宋" w:cs="仿宋"/>
          <w:b w:val="0"/>
          <w:color w:val="auto"/>
          <w:sz w:val="28"/>
          <w:szCs w:val="28"/>
          <w:highlight w:val="none"/>
        </w:rPr>
        <w:t>6：报价明细表</w:t>
      </w:r>
      <w:bookmarkEnd w:id="103"/>
      <w:bookmarkEnd w:id="104"/>
    </w:p>
    <w:p>
      <w:pPr>
        <w:pStyle w:val="14"/>
        <w:spacing w:before="0" w:after="0" w:line="360" w:lineRule="auto"/>
        <w:ind w:right="378" w:rightChars="135"/>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报价明细表</w:t>
      </w:r>
    </w:p>
    <w:p>
      <w:pPr>
        <w:tabs>
          <w:tab w:val="left" w:pos="0"/>
          <w:tab w:val="left" w:pos="720"/>
          <w:tab w:val="left" w:pos="1440"/>
          <w:tab w:val="left" w:pos="2160"/>
          <w:tab w:val="left" w:pos="2880"/>
          <w:tab w:val="left" w:pos="3600"/>
          <w:tab w:val="left" w:pos="4320"/>
        </w:tabs>
        <w:autoSpaceDE w:val="0"/>
        <w:autoSpaceDN w:val="0"/>
        <w:adjustRightInd w:val="0"/>
        <w:spacing w:line="360" w:lineRule="auto"/>
        <w:jc w:val="left"/>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项目编号：</w:t>
      </w:r>
      <w:r>
        <w:rPr>
          <w:rFonts w:hint="eastAsia" w:ascii="仿宋" w:hAnsi="仿宋" w:eastAsia="仿宋" w:cs="仿宋"/>
          <w:color w:val="auto"/>
          <w:sz w:val="24"/>
          <w:szCs w:val="24"/>
          <w:highlight w:val="none"/>
          <w:u w:val="single"/>
        </w:rPr>
        <w:t xml:space="preserve">SHSDZB2022-017    </w:t>
      </w:r>
    </w:p>
    <w:p>
      <w:pPr>
        <w:tabs>
          <w:tab w:val="left" w:pos="0"/>
          <w:tab w:val="left" w:pos="720"/>
          <w:tab w:val="left" w:pos="1440"/>
          <w:tab w:val="left" w:pos="2160"/>
          <w:tab w:val="left" w:pos="2880"/>
          <w:tab w:val="left" w:pos="3600"/>
          <w:tab w:val="left" w:pos="4320"/>
        </w:tabs>
        <w:autoSpaceDE w:val="0"/>
        <w:autoSpaceDN w:val="0"/>
        <w:adjustRightInd w:val="0"/>
        <w:spacing w:line="360" w:lineRule="auto"/>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单位：</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1"/>
        <w:gridCol w:w="802"/>
        <w:gridCol w:w="850"/>
        <w:gridCol w:w="1219"/>
        <w:gridCol w:w="2349"/>
        <w:gridCol w:w="783"/>
        <w:gridCol w:w="797"/>
        <w:gridCol w:w="900"/>
        <w:gridCol w:w="720"/>
        <w:gridCol w:w="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0" w:hRule="atLeast"/>
          <w:jc w:val="center"/>
        </w:trPr>
        <w:tc>
          <w:tcPr>
            <w:tcW w:w="651" w:type="dxa"/>
            <w:tcBorders>
              <w:bottom w:val="single" w:color="auto" w:sz="4" w:space="0"/>
            </w:tcBorders>
            <w:vAlign w:val="center"/>
          </w:tcPr>
          <w:p>
            <w:pPr>
              <w:tabs>
                <w:tab w:val="left" w:pos="1337"/>
              </w:tabs>
              <w:spacing w:line="360" w:lineRule="auto"/>
              <w:ind w:left="-42" w:right="-42"/>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序号</w:t>
            </w:r>
          </w:p>
        </w:tc>
        <w:tc>
          <w:tcPr>
            <w:tcW w:w="802" w:type="dxa"/>
            <w:tcBorders>
              <w:bottom w:val="single" w:color="auto" w:sz="4" w:space="0"/>
            </w:tcBorders>
            <w:vAlign w:val="center"/>
          </w:tcPr>
          <w:p>
            <w:pPr>
              <w:tabs>
                <w:tab w:val="left" w:pos="1337"/>
              </w:tabs>
              <w:spacing w:line="360" w:lineRule="auto"/>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货物名称</w:t>
            </w:r>
          </w:p>
        </w:tc>
        <w:tc>
          <w:tcPr>
            <w:tcW w:w="850" w:type="dxa"/>
            <w:tcBorders>
              <w:bottom w:val="single" w:color="auto" w:sz="4" w:space="0"/>
            </w:tcBorders>
            <w:vAlign w:val="center"/>
          </w:tcPr>
          <w:p>
            <w:pPr>
              <w:spacing w:line="360" w:lineRule="auto"/>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品牌型号</w:t>
            </w:r>
          </w:p>
        </w:tc>
        <w:tc>
          <w:tcPr>
            <w:tcW w:w="1219" w:type="dxa"/>
            <w:vAlign w:val="center"/>
          </w:tcPr>
          <w:p>
            <w:pPr>
              <w:spacing w:line="360" w:lineRule="auto"/>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生产厂家</w:t>
            </w:r>
          </w:p>
          <w:p>
            <w:pPr>
              <w:spacing w:line="360" w:lineRule="auto"/>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产地</w:t>
            </w:r>
          </w:p>
        </w:tc>
        <w:tc>
          <w:tcPr>
            <w:tcW w:w="2349" w:type="dxa"/>
            <w:vAlign w:val="center"/>
          </w:tcPr>
          <w:p>
            <w:pPr>
              <w:spacing w:line="360" w:lineRule="auto"/>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技术规格</w:t>
            </w:r>
          </w:p>
          <w:p>
            <w:pPr>
              <w:spacing w:line="360" w:lineRule="auto"/>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（详细配置）</w:t>
            </w:r>
          </w:p>
        </w:tc>
        <w:tc>
          <w:tcPr>
            <w:tcW w:w="783" w:type="dxa"/>
            <w:tcBorders>
              <w:bottom w:val="single" w:color="auto" w:sz="4" w:space="0"/>
            </w:tcBorders>
            <w:vAlign w:val="center"/>
          </w:tcPr>
          <w:p>
            <w:pPr>
              <w:spacing w:line="360" w:lineRule="auto"/>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单价</w:t>
            </w:r>
          </w:p>
        </w:tc>
        <w:tc>
          <w:tcPr>
            <w:tcW w:w="797" w:type="dxa"/>
            <w:tcBorders>
              <w:bottom w:val="single" w:color="auto" w:sz="4" w:space="0"/>
            </w:tcBorders>
            <w:vAlign w:val="center"/>
          </w:tcPr>
          <w:p>
            <w:pPr>
              <w:tabs>
                <w:tab w:val="left" w:pos="1337"/>
              </w:tabs>
              <w:spacing w:line="360" w:lineRule="auto"/>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数量</w:t>
            </w:r>
          </w:p>
        </w:tc>
        <w:tc>
          <w:tcPr>
            <w:tcW w:w="900" w:type="dxa"/>
            <w:tcBorders>
              <w:bottom w:val="single" w:color="auto" w:sz="4" w:space="0"/>
            </w:tcBorders>
            <w:vAlign w:val="center"/>
          </w:tcPr>
          <w:p>
            <w:pPr>
              <w:tabs>
                <w:tab w:val="left" w:pos="1337"/>
              </w:tabs>
              <w:spacing w:line="360" w:lineRule="auto"/>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总价</w:t>
            </w:r>
          </w:p>
        </w:tc>
        <w:tc>
          <w:tcPr>
            <w:tcW w:w="720" w:type="dxa"/>
            <w:tcBorders>
              <w:bottom w:val="single" w:color="auto" w:sz="4" w:space="0"/>
            </w:tcBorders>
            <w:vAlign w:val="center"/>
          </w:tcPr>
          <w:p>
            <w:pPr>
              <w:tabs>
                <w:tab w:val="left" w:pos="1337"/>
              </w:tabs>
              <w:spacing w:line="360" w:lineRule="auto"/>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质保</w:t>
            </w:r>
          </w:p>
        </w:tc>
        <w:tc>
          <w:tcPr>
            <w:tcW w:w="715" w:type="dxa"/>
            <w:tcBorders>
              <w:bottom w:val="single" w:color="auto" w:sz="4" w:space="0"/>
            </w:tcBorders>
            <w:vAlign w:val="center"/>
          </w:tcPr>
          <w:p>
            <w:pPr>
              <w:tabs>
                <w:tab w:val="left" w:pos="1337"/>
              </w:tabs>
              <w:spacing w:line="360" w:lineRule="auto"/>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60" w:hRule="atLeast"/>
          <w:jc w:val="center"/>
        </w:trPr>
        <w:tc>
          <w:tcPr>
            <w:tcW w:w="651" w:type="dxa"/>
            <w:vAlign w:val="center"/>
          </w:tcPr>
          <w:p>
            <w:pPr>
              <w:tabs>
                <w:tab w:val="left" w:pos="1337"/>
              </w:tabs>
              <w:spacing w:line="360" w:lineRule="auto"/>
              <w:jc w:val="left"/>
              <w:rPr>
                <w:rFonts w:ascii="仿宋" w:hAnsi="仿宋" w:eastAsia="仿宋" w:cs="仿宋"/>
                <w:bCs/>
                <w:color w:val="auto"/>
                <w:sz w:val="24"/>
                <w:highlight w:val="none"/>
              </w:rPr>
            </w:pPr>
          </w:p>
        </w:tc>
        <w:tc>
          <w:tcPr>
            <w:tcW w:w="802" w:type="dxa"/>
            <w:vAlign w:val="center"/>
          </w:tcPr>
          <w:p>
            <w:pPr>
              <w:tabs>
                <w:tab w:val="left" w:pos="1337"/>
              </w:tabs>
              <w:spacing w:line="360" w:lineRule="auto"/>
              <w:jc w:val="left"/>
              <w:rPr>
                <w:rFonts w:ascii="仿宋" w:hAnsi="仿宋" w:eastAsia="仿宋" w:cs="仿宋"/>
                <w:bCs/>
                <w:color w:val="auto"/>
                <w:sz w:val="24"/>
                <w:highlight w:val="none"/>
              </w:rPr>
            </w:pPr>
          </w:p>
        </w:tc>
        <w:tc>
          <w:tcPr>
            <w:tcW w:w="850" w:type="dxa"/>
            <w:vAlign w:val="center"/>
          </w:tcPr>
          <w:p>
            <w:pPr>
              <w:tabs>
                <w:tab w:val="left" w:pos="1337"/>
              </w:tabs>
              <w:spacing w:line="360" w:lineRule="auto"/>
              <w:jc w:val="left"/>
              <w:rPr>
                <w:rFonts w:ascii="仿宋" w:hAnsi="仿宋" w:eastAsia="仿宋" w:cs="仿宋"/>
                <w:bCs/>
                <w:color w:val="auto"/>
                <w:sz w:val="24"/>
                <w:highlight w:val="none"/>
              </w:rPr>
            </w:pPr>
          </w:p>
        </w:tc>
        <w:tc>
          <w:tcPr>
            <w:tcW w:w="1219" w:type="dxa"/>
          </w:tcPr>
          <w:p>
            <w:pPr>
              <w:tabs>
                <w:tab w:val="left" w:pos="1337"/>
              </w:tabs>
              <w:spacing w:line="360" w:lineRule="auto"/>
              <w:ind w:left="-42" w:right="-42"/>
              <w:jc w:val="left"/>
              <w:rPr>
                <w:rFonts w:ascii="仿宋" w:hAnsi="仿宋" w:eastAsia="仿宋" w:cs="仿宋"/>
                <w:bCs/>
                <w:color w:val="auto"/>
                <w:sz w:val="24"/>
                <w:highlight w:val="none"/>
              </w:rPr>
            </w:pPr>
          </w:p>
        </w:tc>
        <w:tc>
          <w:tcPr>
            <w:tcW w:w="2349" w:type="dxa"/>
            <w:vAlign w:val="center"/>
          </w:tcPr>
          <w:p>
            <w:pPr>
              <w:tabs>
                <w:tab w:val="left" w:pos="1337"/>
              </w:tabs>
              <w:spacing w:line="360" w:lineRule="auto"/>
              <w:ind w:left="-42" w:right="-42"/>
              <w:jc w:val="left"/>
              <w:rPr>
                <w:rFonts w:ascii="仿宋" w:hAnsi="仿宋" w:eastAsia="仿宋" w:cs="仿宋"/>
                <w:bCs/>
                <w:color w:val="auto"/>
                <w:sz w:val="24"/>
                <w:highlight w:val="none"/>
              </w:rPr>
            </w:pPr>
          </w:p>
        </w:tc>
        <w:tc>
          <w:tcPr>
            <w:tcW w:w="783" w:type="dxa"/>
            <w:vAlign w:val="center"/>
          </w:tcPr>
          <w:p>
            <w:pPr>
              <w:tabs>
                <w:tab w:val="left" w:pos="1337"/>
              </w:tabs>
              <w:spacing w:line="360" w:lineRule="auto"/>
              <w:jc w:val="left"/>
              <w:rPr>
                <w:rFonts w:ascii="仿宋" w:hAnsi="仿宋" w:eastAsia="仿宋" w:cs="仿宋"/>
                <w:bCs/>
                <w:color w:val="auto"/>
                <w:sz w:val="24"/>
                <w:highlight w:val="none"/>
              </w:rPr>
            </w:pPr>
          </w:p>
        </w:tc>
        <w:tc>
          <w:tcPr>
            <w:tcW w:w="797" w:type="dxa"/>
            <w:vAlign w:val="center"/>
          </w:tcPr>
          <w:p>
            <w:pPr>
              <w:tabs>
                <w:tab w:val="left" w:pos="1337"/>
              </w:tabs>
              <w:spacing w:line="360" w:lineRule="auto"/>
              <w:jc w:val="left"/>
              <w:rPr>
                <w:rFonts w:ascii="仿宋" w:hAnsi="仿宋" w:eastAsia="仿宋" w:cs="仿宋"/>
                <w:bCs/>
                <w:color w:val="auto"/>
                <w:sz w:val="24"/>
                <w:highlight w:val="none"/>
              </w:rPr>
            </w:pPr>
          </w:p>
        </w:tc>
        <w:tc>
          <w:tcPr>
            <w:tcW w:w="900" w:type="dxa"/>
            <w:vAlign w:val="center"/>
          </w:tcPr>
          <w:p>
            <w:pPr>
              <w:tabs>
                <w:tab w:val="left" w:pos="1337"/>
              </w:tabs>
              <w:spacing w:line="360" w:lineRule="auto"/>
              <w:jc w:val="left"/>
              <w:rPr>
                <w:rFonts w:ascii="仿宋" w:hAnsi="仿宋" w:eastAsia="仿宋" w:cs="仿宋"/>
                <w:bCs/>
                <w:color w:val="auto"/>
                <w:sz w:val="24"/>
                <w:highlight w:val="none"/>
              </w:rPr>
            </w:pPr>
          </w:p>
        </w:tc>
        <w:tc>
          <w:tcPr>
            <w:tcW w:w="720" w:type="dxa"/>
            <w:vAlign w:val="center"/>
          </w:tcPr>
          <w:p>
            <w:pPr>
              <w:tabs>
                <w:tab w:val="left" w:pos="1337"/>
              </w:tabs>
              <w:spacing w:line="360" w:lineRule="auto"/>
              <w:jc w:val="left"/>
              <w:rPr>
                <w:rFonts w:ascii="仿宋" w:hAnsi="仿宋" w:eastAsia="仿宋" w:cs="仿宋"/>
                <w:bCs/>
                <w:color w:val="auto"/>
                <w:sz w:val="24"/>
                <w:highlight w:val="none"/>
              </w:rPr>
            </w:pPr>
          </w:p>
        </w:tc>
        <w:tc>
          <w:tcPr>
            <w:tcW w:w="715" w:type="dxa"/>
            <w:vAlign w:val="center"/>
          </w:tcPr>
          <w:p>
            <w:pPr>
              <w:tabs>
                <w:tab w:val="left" w:pos="1337"/>
              </w:tabs>
              <w:spacing w:line="360" w:lineRule="auto"/>
              <w:jc w:val="left"/>
              <w:rPr>
                <w:rFonts w:ascii="仿宋" w:hAnsi="仿宋" w:eastAsia="仿宋" w:cs="仿宋"/>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24" w:hRule="atLeast"/>
          <w:jc w:val="center"/>
        </w:trPr>
        <w:tc>
          <w:tcPr>
            <w:tcW w:w="651" w:type="dxa"/>
            <w:vAlign w:val="center"/>
          </w:tcPr>
          <w:p>
            <w:pPr>
              <w:tabs>
                <w:tab w:val="left" w:pos="1337"/>
              </w:tabs>
              <w:spacing w:line="360" w:lineRule="auto"/>
              <w:jc w:val="left"/>
              <w:rPr>
                <w:rFonts w:ascii="仿宋" w:hAnsi="仿宋" w:eastAsia="仿宋" w:cs="仿宋"/>
                <w:bCs/>
                <w:color w:val="auto"/>
                <w:sz w:val="24"/>
                <w:highlight w:val="none"/>
              </w:rPr>
            </w:pPr>
          </w:p>
        </w:tc>
        <w:tc>
          <w:tcPr>
            <w:tcW w:w="802" w:type="dxa"/>
            <w:vAlign w:val="center"/>
          </w:tcPr>
          <w:p>
            <w:pPr>
              <w:tabs>
                <w:tab w:val="left" w:pos="1337"/>
              </w:tabs>
              <w:spacing w:line="360" w:lineRule="auto"/>
              <w:jc w:val="left"/>
              <w:rPr>
                <w:rFonts w:ascii="仿宋" w:hAnsi="仿宋" w:eastAsia="仿宋" w:cs="仿宋"/>
                <w:bCs/>
                <w:color w:val="auto"/>
                <w:sz w:val="24"/>
                <w:highlight w:val="none"/>
              </w:rPr>
            </w:pPr>
          </w:p>
        </w:tc>
        <w:tc>
          <w:tcPr>
            <w:tcW w:w="850" w:type="dxa"/>
            <w:vAlign w:val="center"/>
          </w:tcPr>
          <w:p>
            <w:pPr>
              <w:tabs>
                <w:tab w:val="left" w:pos="1337"/>
              </w:tabs>
              <w:spacing w:line="360" w:lineRule="auto"/>
              <w:jc w:val="left"/>
              <w:rPr>
                <w:rFonts w:ascii="仿宋" w:hAnsi="仿宋" w:eastAsia="仿宋" w:cs="仿宋"/>
                <w:bCs/>
                <w:color w:val="auto"/>
                <w:sz w:val="24"/>
                <w:highlight w:val="none"/>
              </w:rPr>
            </w:pPr>
          </w:p>
        </w:tc>
        <w:tc>
          <w:tcPr>
            <w:tcW w:w="1219" w:type="dxa"/>
          </w:tcPr>
          <w:p>
            <w:pPr>
              <w:tabs>
                <w:tab w:val="left" w:pos="1337"/>
              </w:tabs>
              <w:spacing w:line="360" w:lineRule="auto"/>
              <w:jc w:val="left"/>
              <w:rPr>
                <w:rFonts w:ascii="仿宋" w:hAnsi="仿宋" w:eastAsia="仿宋" w:cs="仿宋"/>
                <w:bCs/>
                <w:color w:val="auto"/>
                <w:sz w:val="24"/>
                <w:highlight w:val="none"/>
              </w:rPr>
            </w:pPr>
          </w:p>
        </w:tc>
        <w:tc>
          <w:tcPr>
            <w:tcW w:w="2349" w:type="dxa"/>
            <w:vAlign w:val="center"/>
          </w:tcPr>
          <w:p>
            <w:pPr>
              <w:tabs>
                <w:tab w:val="left" w:pos="1337"/>
              </w:tabs>
              <w:spacing w:line="360" w:lineRule="auto"/>
              <w:jc w:val="left"/>
              <w:rPr>
                <w:rFonts w:ascii="仿宋" w:hAnsi="仿宋" w:eastAsia="仿宋" w:cs="仿宋"/>
                <w:bCs/>
                <w:color w:val="auto"/>
                <w:sz w:val="24"/>
                <w:highlight w:val="none"/>
              </w:rPr>
            </w:pPr>
          </w:p>
        </w:tc>
        <w:tc>
          <w:tcPr>
            <w:tcW w:w="783" w:type="dxa"/>
            <w:vAlign w:val="center"/>
          </w:tcPr>
          <w:p>
            <w:pPr>
              <w:tabs>
                <w:tab w:val="left" w:pos="1337"/>
              </w:tabs>
              <w:spacing w:line="360" w:lineRule="auto"/>
              <w:jc w:val="left"/>
              <w:rPr>
                <w:rFonts w:ascii="仿宋" w:hAnsi="仿宋" w:eastAsia="仿宋" w:cs="仿宋"/>
                <w:bCs/>
                <w:color w:val="auto"/>
                <w:sz w:val="24"/>
                <w:highlight w:val="none"/>
              </w:rPr>
            </w:pPr>
          </w:p>
        </w:tc>
        <w:tc>
          <w:tcPr>
            <w:tcW w:w="797" w:type="dxa"/>
            <w:vAlign w:val="center"/>
          </w:tcPr>
          <w:p>
            <w:pPr>
              <w:tabs>
                <w:tab w:val="left" w:pos="1337"/>
              </w:tabs>
              <w:spacing w:line="360" w:lineRule="auto"/>
              <w:jc w:val="left"/>
              <w:rPr>
                <w:rFonts w:ascii="仿宋" w:hAnsi="仿宋" w:eastAsia="仿宋" w:cs="仿宋"/>
                <w:bCs/>
                <w:color w:val="auto"/>
                <w:sz w:val="24"/>
                <w:highlight w:val="none"/>
              </w:rPr>
            </w:pPr>
          </w:p>
        </w:tc>
        <w:tc>
          <w:tcPr>
            <w:tcW w:w="900" w:type="dxa"/>
            <w:vAlign w:val="center"/>
          </w:tcPr>
          <w:p>
            <w:pPr>
              <w:tabs>
                <w:tab w:val="left" w:pos="1337"/>
              </w:tabs>
              <w:spacing w:line="360" w:lineRule="auto"/>
              <w:jc w:val="left"/>
              <w:rPr>
                <w:rFonts w:ascii="仿宋" w:hAnsi="仿宋" w:eastAsia="仿宋" w:cs="仿宋"/>
                <w:bCs/>
                <w:color w:val="auto"/>
                <w:sz w:val="24"/>
                <w:highlight w:val="none"/>
              </w:rPr>
            </w:pPr>
          </w:p>
        </w:tc>
        <w:tc>
          <w:tcPr>
            <w:tcW w:w="720" w:type="dxa"/>
            <w:vAlign w:val="center"/>
          </w:tcPr>
          <w:p>
            <w:pPr>
              <w:tabs>
                <w:tab w:val="left" w:pos="1337"/>
              </w:tabs>
              <w:spacing w:line="360" w:lineRule="auto"/>
              <w:jc w:val="left"/>
              <w:rPr>
                <w:rFonts w:ascii="仿宋" w:hAnsi="仿宋" w:eastAsia="仿宋" w:cs="仿宋"/>
                <w:bCs/>
                <w:color w:val="auto"/>
                <w:sz w:val="24"/>
                <w:highlight w:val="none"/>
              </w:rPr>
            </w:pPr>
          </w:p>
        </w:tc>
        <w:tc>
          <w:tcPr>
            <w:tcW w:w="715" w:type="dxa"/>
            <w:vAlign w:val="center"/>
          </w:tcPr>
          <w:p>
            <w:pPr>
              <w:tabs>
                <w:tab w:val="left" w:pos="1337"/>
              </w:tabs>
              <w:spacing w:line="360" w:lineRule="auto"/>
              <w:jc w:val="left"/>
              <w:rPr>
                <w:rFonts w:ascii="仿宋" w:hAnsi="仿宋" w:eastAsia="仿宋" w:cs="仿宋"/>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4" w:hRule="atLeast"/>
          <w:jc w:val="center"/>
        </w:trPr>
        <w:tc>
          <w:tcPr>
            <w:tcW w:w="651" w:type="dxa"/>
            <w:vAlign w:val="center"/>
          </w:tcPr>
          <w:p>
            <w:pPr>
              <w:tabs>
                <w:tab w:val="left" w:pos="1337"/>
              </w:tabs>
              <w:spacing w:line="360" w:lineRule="auto"/>
              <w:jc w:val="left"/>
              <w:rPr>
                <w:rFonts w:ascii="仿宋" w:hAnsi="仿宋" w:eastAsia="仿宋" w:cs="仿宋"/>
                <w:bCs/>
                <w:color w:val="auto"/>
                <w:sz w:val="24"/>
                <w:highlight w:val="none"/>
              </w:rPr>
            </w:pPr>
          </w:p>
        </w:tc>
        <w:tc>
          <w:tcPr>
            <w:tcW w:w="802" w:type="dxa"/>
            <w:vAlign w:val="center"/>
          </w:tcPr>
          <w:p>
            <w:pPr>
              <w:tabs>
                <w:tab w:val="left" w:pos="1337"/>
              </w:tabs>
              <w:spacing w:line="360" w:lineRule="auto"/>
              <w:jc w:val="left"/>
              <w:rPr>
                <w:rFonts w:ascii="仿宋" w:hAnsi="仿宋" w:eastAsia="仿宋" w:cs="仿宋"/>
                <w:bCs/>
                <w:color w:val="auto"/>
                <w:sz w:val="24"/>
                <w:highlight w:val="none"/>
              </w:rPr>
            </w:pPr>
          </w:p>
        </w:tc>
        <w:tc>
          <w:tcPr>
            <w:tcW w:w="850" w:type="dxa"/>
            <w:vAlign w:val="center"/>
          </w:tcPr>
          <w:p>
            <w:pPr>
              <w:tabs>
                <w:tab w:val="left" w:pos="1337"/>
              </w:tabs>
              <w:spacing w:line="360" w:lineRule="auto"/>
              <w:jc w:val="left"/>
              <w:rPr>
                <w:rFonts w:ascii="仿宋" w:hAnsi="仿宋" w:eastAsia="仿宋" w:cs="仿宋"/>
                <w:bCs/>
                <w:color w:val="auto"/>
                <w:sz w:val="24"/>
                <w:highlight w:val="none"/>
              </w:rPr>
            </w:pPr>
          </w:p>
        </w:tc>
        <w:tc>
          <w:tcPr>
            <w:tcW w:w="1219" w:type="dxa"/>
          </w:tcPr>
          <w:p>
            <w:pPr>
              <w:tabs>
                <w:tab w:val="left" w:pos="1337"/>
              </w:tabs>
              <w:spacing w:line="360" w:lineRule="auto"/>
              <w:jc w:val="left"/>
              <w:rPr>
                <w:rFonts w:ascii="仿宋" w:hAnsi="仿宋" w:eastAsia="仿宋" w:cs="仿宋"/>
                <w:bCs/>
                <w:color w:val="auto"/>
                <w:sz w:val="24"/>
                <w:highlight w:val="none"/>
              </w:rPr>
            </w:pPr>
          </w:p>
        </w:tc>
        <w:tc>
          <w:tcPr>
            <w:tcW w:w="2349" w:type="dxa"/>
            <w:vAlign w:val="center"/>
          </w:tcPr>
          <w:p>
            <w:pPr>
              <w:tabs>
                <w:tab w:val="left" w:pos="1337"/>
              </w:tabs>
              <w:spacing w:line="360" w:lineRule="auto"/>
              <w:jc w:val="left"/>
              <w:rPr>
                <w:rFonts w:ascii="仿宋" w:hAnsi="仿宋" w:eastAsia="仿宋" w:cs="仿宋"/>
                <w:bCs/>
                <w:color w:val="auto"/>
                <w:sz w:val="24"/>
                <w:highlight w:val="none"/>
              </w:rPr>
            </w:pPr>
          </w:p>
        </w:tc>
        <w:tc>
          <w:tcPr>
            <w:tcW w:w="783" w:type="dxa"/>
            <w:vAlign w:val="center"/>
          </w:tcPr>
          <w:p>
            <w:pPr>
              <w:tabs>
                <w:tab w:val="left" w:pos="1337"/>
              </w:tabs>
              <w:spacing w:line="360" w:lineRule="auto"/>
              <w:jc w:val="left"/>
              <w:rPr>
                <w:rFonts w:ascii="仿宋" w:hAnsi="仿宋" w:eastAsia="仿宋" w:cs="仿宋"/>
                <w:bCs/>
                <w:color w:val="auto"/>
                <w:sz w:val="24"/>
                <w:highlight w:val="none"/>
              </w:rPr>
            </w:pPr>
          </w:p>
        </w:tc>
        <w:tc>
          <w:tcPr>
            <w:tcW w:w="797" w:type="dxa"/>
            <w:vAlign w:val="center"/>
          </w:tcPr>
          <w:p>
            <w:pPr>
              <w:tabs>
                <w:tab w:val="left" w:pos="1337"/>
              </w:tabs>
              <w:spacing w:line="360" w:lineRule="auto"/>
              <w:jc w:val="left"/>
              <w:rPr>
                <w:rFonts w:ascii="仿宋" w:hAnsi="仿宋" w:eastAsia="仿宋" w:cs="仿宋"/>
                <w:bCs/>
                <w:color w:val="auto"/>
                <w:sz w:val="24"/>
                <w:highlight w:val="none"/>
              </w:rPr>
            </w:pPr>
          </w:p>
        </w:tc>
        <w:tc>
          <w:tcPr>
            <w:tcW w:w="900" w:type="dxa"/>
            <w:vAlign w:val="center"/>
          </w:tcPr>
          <w:p>
            <w:pPr>
              <w:tabs>
                <w:tab w:val="left" w:pos="1337"/>
              </w:tabs>
              <w:spacing w:line="360" w:lineRule="auto"/>
              <w:jc w:val="left"/>
              <w:rPr>
                <w:rFonts w:ascii="仿宋" w:hAnsi="仿宋" w:eastAsia="仿宋" w:cs="仿宋"/>
                <w:bCs/>
                <w:color w:val="auto"/>
                <w:sz w:val="24"/>
                <w:highlight w:val="none"/>
              </w:rPr>
            </w:pPr>
          </w:p>
        </w:tc>
        <w:tc>
          <w:tcPr>
            <w:tcW w:w="720" w:type="dxa"/>
            <w:vAlign w:val="center"/>
          </w:tcPr>
          <w:p>
            <w:pPr>
              <w:tabs>
                <w:tab w:val="left" w:pos="1337"/>
              </w:tabs>
              <w:spacing w:line="360" w:lineRule="auto"/>
              <w:jc w:val="left"/>
              <w:rPr>
                <w:rFonts w:ascii="仿宋" w:hAnsi="仿宋" w:eastAsia="仿宋" w:cs="仿宋"/>
                <w:bCs/>
                <w:color w:val="auto"/>
                <w:sz w:val="24"/>
                <w:highlight w:val="none"/>
              </w:rPr>
            </w:pPr>
          </w:p>
        </w:tc>
        <w:tc>
          <w:tcPr>
            <w:tcW w:w="715" w:type="dxa"/>
            <w:vAlign w:val="center"/>
          </w:tcPr>
          <w:p>
            <w:pPr>
              <w:tabs>
                <w:tab w:val="left" w:pos="1337"/>
              </w:tabs>
              <w:spacing w:line="360" w:lineRule="auto"/>
              <w:jc w:val="left"/>
              <w:rPr>
                <w:rFonts w:ascii="仿宋" w:hAnsi="仿宋" w:eastAsia="仿宋" w:cs="仿宋"/>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3" w:hRule="atLeast"/>
          <w:jc w:val="center"/>
        </w:trPr>
        <w:tc>
          <w:tcPr>
            <w:tcW w:w="651" w:type="dxa"/>
            <w:vAlign w:val="center"/>
          </w:tcPr>
          <w:p>
            <w:pPr>
              <w:tabs>
                <w:tab w:val="left" w:pos="1337"/>
              </w:tabs>
              <w:spacing w:line="360" w:lineRule="auto"/>
              <w:jc w:val="left"/>
              <w:rPr>
                <w:rFonts w:ascii="仿宋" w:hAnsi="仿宋" w:eastAsia="仿宋" w:cs="仿宋"/>
                <w:bCs/>
                <w:color w:val="auto"/>
                <w:sz w:val="24"/>
                <w:highlight w:val="none"/>
              </w:rPr>
            </w:pPr>
          </w:p>
        </w:tc>
        <w:tc>
          <w:tcPr>
            <w:tcW w:w="802" w:type="dxa"/>
            <w:vAlign w:val="center"/>
          </w:tcPr>
          <w:p>
            <w:pPr>
              <w:tabs>
                <w:tab w:val="left" w:pos="1337"/>
              </w:tabs>
              <w:spacing w:line="360" w:lineRule="auto"/>
              <w:jc w:val="left"/>
              <w:rPr>
                <w:rFonts w:ascii="仿宋" w:hAnsi="仿宋" w:eastAsia="仿宋" w:cs="仿宋"/>
                <w:bCs/>
                <w:color w:val="auto"/>
                <w:sz w:val="24"/>
                <w:highlight w:val="none"/>
              </w:rPr>
            </w:pPr>
          </w:p>
        </w:tc>
        <w:tc>
          <w:tcPr>
            <w:tcW w:w="850" w:type="dxa"/>
            <w:vAlign w:val="center"/>
          </w:tcPr>
          <w:p>
            <w:pPr>
              <w:tabs>
                <w:tab w:val="left" w:pos="1337"/>
              </w:tabs>
              <w:spacing w:line="360" w:lineRule="auto"/>
              <w:jc w:val="left"/>
              <w:rPr>
                <w:rFonts w:ascii="仿宋" w:hAnsi="仿宋" w:eastAsia="仿宋" w:cs="仿宋"/>
                <w:bCs/>
                <w:color w:val="auto"/>
                <w:sz w:val="24"/>
                <w:highlight w:val="none"/>
              </w:rPr>
            </w:pPr>
          </w:p>
        </w:tc>
        <w:tc>
          <w:tcPr>
            <w:tcW w:w="1219" w:type="dxa"/>
          </w:tcPr>
          <w:p>
            <w:pPr>
              <w:tabs>
                <w:tab w:val="left" w:pos="1337"/>
              </w:tabs>
              <w:spacing w:line="360" w:lineRule="auto"/>
              <w:jc w:val="left"/>
              <w:rPr>
                <w:rFonts w:ascii="仿宋" w:hAnsi="仿宋" w:eastAsia="仿宋" w:cs="仿宋"/>
                <w:bCs/>
                <w:color w:val="auto"/>
                <w:sz w:val="24"/>
                <w:highlight w:val="none"/>
              </w:rPr>
            </w:pPr>
          </w:p>
        </w:tc>
        <w:tc>
          <w:tcPr>
            <w:tcW w:w="2349" w:type="dxa"/>
            <w:vAlign w:val="center"/>
          </w:tcPr>
          <w:p>
            <w:pPr>
              <w:tabs>
                <w:tab w:val="left" w:pos="1337"/>
              </w:tabs>
              <w:spacing w:line="360" w:lineRule="auto"/>
              <w:jc w:val="left"/>
              <w:rPr>
                <w:rFonts w:ascii="仿宋" w:hAnsi="仿宋" w:eastAsia="仿宋" w:cs="仿宋"/>
                <w:bCs/>
                <w:color w:val="auto"/>
                <w:sz w:val="24"/>
                <w:highlight w:val="none"/>
              </w:rPr>
            </w:pPr>
          </w:p>
        </w:tc>
        <w:tc>
          <w:tcPr>
            <w:tcW w:w="783" w:type="dxa"/>
            <w:vAlign w:val="center"/>
          </w:tcPr>
          <w:p>
            <w:pPr>
              <w:tabs>
                <w:tab w:val="left" w:pos="1337"/>
              </w:tabs>
              <w:spacing w:line="360" w:lineRule="auto"/>
              <w:jc w:val="left"/>
              <w:rPr>
                <w:rFonts w:ascii="仿宋" w:hAnsi="仿宋" w:eastAsia="仿宋" w:cs="仿宋"/>
                <w:bCs/>
                <w:color w:val="auto"/>
                <w:sz w:val="24"/>
                <w:highlight w:val="none"/>
              </w:rPr>
            </w:pPr>
          </w:p>
        </w:tc>
        <w:tc>
          <w:tcPr>
            <w:tcW w:w="797" w:type="dxa"/>
            <w:vAlign w:val="center"/>
          </w:tcPr>
          <w:p>
            <w:pPr>
              <w:tabs>
                <w:tab w:val="left" w:pos="1337"/>
              </w:tabs>
              <w:spacing w:line="360" w:lineRule="auto"/>
              <w:jc w:val="left"/>
              <w:rPr>
                <w:rFonts w:ascii="仿宋" w:hAnsi="仿宋" w:eastAsia="仿宋" w:cs="仿宋"/>
                <w:bCs/>
                <w:color w:val="auto"/>
                <w:sz w:val="24"/>
                <w:highlight w:val="none"/>
              </w:rPr>
            </w:pPr>
          </w:p>
        </w:tc>
        <w:tc>
          <w:tcPr>
            <w:tcW w:w="900" w:type="dxa"/>
            <w:vAlign w:val="center"/>
          </w:tcPr>
          <w:p>
            <w:pPr>
              <w:tabs>
                <w:tab w:val="left" w:pos="1337"/>
              </w:tabs>
              <w:spacing w:line="360" w:lineRule="auto"/>
              <w:jc w:val="left"/>
              <w:rPr>
                <w:rFonts w:ascii="仿宋" w:hAnsi="仿宋" w:eastAsia="仿宋" w:cs="仿宋"/>
                <w:bCs/>
                <w:color w:val="auto"/>
                <w:sz w:val="24"/>
                <w:highlight w:val="none"/>
              </w:rPr>
            </w:pPr>
          </w:p>
        </w:tc>
        <w:tc>
          <w:tcPr>
            <w:tcW w:w="720" w:type="dxa"/>
            <w:vAlign w:val="center"/>
          </w:tcPr>
          <w:p>
            <w:pPr>
              <w:tabs>
                <w:tab w:val="left" w:pos="1337"/>
              </w:tabs>
              <w:spacing w:line="360" w:lineRule="auto"/>
              <w:jc w:val="left"/>
              <w:rPr>
                <w:rFonts w:ascii="仿宋" w:hAnsi="仿宋" w:eastAsia="仿宋" w:cs="仿宋"/>
                <w:bCs/>
                <w:color w:val="auto"/>
                <w:sz w:val="24"/>
                <w:highlight w:val="none"/>
              </w:rPr>
            </w:pPr>
          </w:p>
        </w:tc>
        <w:tc>
          <w:tcPr>
            <w:tcW w:w="715" w:type="dxa"/>
            <w:vAlign w:val="center"/>
          </w:tcPr>
          <w:p>
            <w:pPr>
              <w:tabs>
                <w:tab w:val="left" w:pos="1337"/>
              </w:tabs>
              <w:spacing w:line="360" w:lineRule="auto"/>
              <w:jc w:val="left"/>
              <w:rPr>
                <w:rFonts w:ascii="仿宋" w:hAnsi="仿宋" w:eastAsia="仿宋" w:cs="仿宋"/>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jc w:val="center"/>
        </w:trPr>
        <w:tc>
          <w:tcPr>
            <w:tcW w:w="651" w:type="dxa"/>
            <w:vAlign w:val="center"/>
          </w:tcPr>
          <w:p>
            <w:pPr>
              <w:tabs>
                <w:tab w:val="left" w:pos="1337"/>
              </w:tabs>
              <w:spacing w:line="360" w:lineRule="auto"/>
              <w:jc w:val="left"/>
              <w:rPr>
                <w:rFonts w:ascii="仿宋" w:hAnsi="仿宋" w:eastAsia="仿宋" w:cs="仿宋"/>
                <w:bCs/>
                <w:color w:val="auto"/>
                <w:sz w:val="24"/>
                <w:highlight w:val="none"/>
              </w:rPr>
            </w:pPr>
          </w:p>
        </w:tc>
        <w:tc>
          <w:tcPr>
            <w:tcW w:w="802" w:type="dxa"/>
            <w:vAlign w:val="center"/>
          </w:tcPr>
          <w:p>
            <w:pPr>
              <w:tabs>
                <w:tab w:val="left" w:pos="1337"/>
              </w:tabs>
              <w:spacing w:line="360" w:lineRule="auto"/>
              <w:jc w:val="left"/>
              <w:rPr>
                <w:rFonts w:ascii="仿宋" w:hAnsi="仿宋" w:eastAsia="仿宋" w:cs="仿宋"/>
                <w:bCs/>
                <w:color w:val="auto"/>
                <w:sz w:val="24"/>
                <w:highlight w:val="none"/>
              </w:rPr>
            </w:pPr>
          </w:p>
        </w:tc>
        <w:tc>
          <w:tcPr>
            <w:tcW w:w="850" w:type="dxa"/>
            <w:vAlign w:val="center"/>
          </w:tcPr>
          <w:p>
            <w:pPr>
              <w:tabs>
                <w:tab w:val="left" w:pos="1337"/>
              </w:tabs>
              <w:spacing w:line="360" w:lineRule="auto"/>
              <w:jc w:val="left"/>
              <w:rPr>
                <w:rFonts w:ascii="仿宋" w:hAnsi="仿宋" w:eastAsia="仿宋" w:cs="仿宋"/>
                <w:bCs/>
                <w:color w:val="auto"/>
                <w:sz w:val="24"/>
                <w:highlight w:val="none"/>
              </w:rPr>
            </w:pPr>
          </w:p>
        </w:tc>
        <w:tc>
          <w:tcPr>
            <w:tcW w:w="1219" w:type="dxa"/>
          </w:tcPr>
          <w:p>
            <w:pPr>
              <w:tabs>
                <w:tab w:val="left" w:pos="1337"/>
              </w:tabs>
              <w:spacing w:line="360" w:lineRule="auto"/>
              <w:jc w:val="left"/>
              <w:rPr>
                <w:rFonts w:ascii="仿宋" w:hAnsi="仿宋" w:eastAsia="仿宋" w:cs="仿宋"/>
                <w:bCs/>
                <w:color w:val="auto"/>
                <w:sz w:val="24"/>
                <w:highlight w:val="none"/>
              </w:rPr>
            </w:pPr>
          </w:p>
        </w:tc>
        <w:tc>
          <w:tcPr>
            <w:tcW w:w="2349" w:type="dxa"/>
            <w:vAlign w:val="center"/>
          </w:tcPr>
          <w:p>
            <w:pPr>
              <w:tabs>
                <w:tab w:val="left" w:pos="1337"/>
              </w:tabs>
              <w:spacing w:line="360" w:lineRule="auto"/>
              <w:jc w:val="left"/>
              <w:rPr>
                <w:rFonts w:ascii="仿宋" w:hAnsi="仿宋" w:eastAsia="仿宋" w:cs="仿宋"/>
                <w:bCs/>
                <w:color w:val="auto"/>
                <w:sz w:val="24"/>
                <w:highlight w:val="none"/>
              </w:rPr>
            </w:pPr>
          </w:p>
        </w:tc>
        <w:tc>
          <w:tcPr>
            <w:tcW w:w="783" w:type="dxa"/>
            <w:vAlign w:val="center"/>
          </w:tcPr>
          <w:p>
            <w:pPr>
              <w:tabs>
                <w:tab w:val="left" w:pos="1337"/>
              </w:tabs>
              <w:spacing w:line="360" w:lineRule="auto"/>
              <w:jc w:val="left"/>
              <w:rPr>
                <w:rFonts w:ascii="仿宋" w:hAnsi="仿宋" w:eastAsia="仿宋" w:cs="仿宋"/>
                <w:bCs/>
                <w:color w:val="auto"/>
                <w:sz w:val="24"/>
                <w:highlight w:val="none"/>
              </w:rPr>
            </w:pPr>
          </w:p>
        </w:tc>
        <w:tc>
          <w:tcPr>
            <w:tcW w:w="797" w:type="dxa"/>
            <w:vAlign w:val="center"/>
          </w:tcPr>
          <w:p>
            <w:pPr>
              <w:tabs>
                <w:tab w:val="left" w:pos="1337"/>
              </w:tabs>
              <w:spacing w:line="360" w:lineRule="auto"/>
              <w:jc w:val="left"/>
              <w:rPr>
                <w:rFonts w:ascii="仿宋" w:hAnsi="仿宋" w:eastAsia="仿宋" w:cs="仿宋"/>
                <w:bCs/>
                <w:color w:val="auto"/>
                <w:sz w:val="24"/>
                <w:highlight w:val="none"/>
              </w:rPr>
            </w:pPr>
          </w:p>
        </w:tc>
        <w:tc>
          <w:tcPr>
            <w:tcW w:w="900" w:type="dxa"/>
            <w:vAlign w:val="center"/>
          </w:tcPr>
          <w:p>
            <w:pPr>
              <w:tabs>
                <w:tab w:val="left" w:pos="1337"/>
              </w:tabs>
              <w:spacing w:line="360" w:lineRule="auto"/>
              <w:jc w:val="left"/>
              <w:rPr>
                <w:rFonts w:ascii="仿宋" w:hAnsi="仿宋" w:eastAsia="仿宋" w:cs="仿宋"/>
                <w:bCs/>
                <w:color w:val="auto"/>
                <w:sz w:val="24"/>
                <w:highlight w:val="none"/>
              </w:rPr>
            </w:pPr>
          </w:p>
        </w:tc>
        <w:tc>
          <w:tcPr>
            <w:tcW w:w="720" w:type="dxa"/>
            <w:vAlign w:val="center"/>
          </w:tcPr>
          <w:p>
            <w:pPr>
              <w:tabs>
                <w:tab w:val="left" w:pos="1337"/>
              </w:tabs>
              <w:spacing w:line="360" w:lineRule="auto"/>
              <w:jc w:val="left"/>
              <w:rPr>
                <w:rFonts w:ascii="仿宋" w:hAnsi="仿宋" w:eastAsia="仿宋" w:cs="仿宋"/>
                <w:bCs/>
                <w:color w:val="auto"/>
                <w:sz w:val="24"/>
                <w:highlight w:val="none"/>
              </w:rPr>
            </w:pPr>
          </w:p>
        </w:tc>
        <w:tc>
          <w:tcPr>
            <w:tcW w:w="715" w:type="dxa"/>
            <w:vAlign w:val="center"/>
          </w:tcPr>
          <w:p>
            <w:pPr>
              <w:tabs>
                <w:tab w:val="left" w:pos="1337"/>
              </w:tabs>
              <w:spacing w:line="360" w:lineRule="auto"/>
              <w:jc w:val="left"/>
              <w:rPr>
                <w:rFonts w:ascii="仿宋" w:hAnsi="仿宋" w:eastAsia="仿宋" w:cs="仿宋"/>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651" w:type="dxa"/>
            <w:vAlign w:val="center"/>
          </w:tcPr>
          <w:p>
            <w:pPr>
              <w:tabs>
                <w:tab w:val="left" w:pos="1337"/>
              </w:tabs>
              <w:spacing w:line="360" w:lineRule="auto"/>
              <w:jc w:val="left"/>
              <w:rPr>
                <w:rFonts w:ascii="仿宋" w:hAnsi="仿宋" w:eastAsia="仿宋" w:cs="仿宋"/>
                <w:bCs/>
                <w:color w:val="auto"/>
                <w:sz w:val="24"/>
                <w:highlight w:val="none"/>
              </w:rPr>
            </w:pPr>
          </w:p>
        </w:tc>
        <w:tc>
          <w:tcPr>
            <w:tcW w:w="802" w:type="dxa"/>
            <w:vAlign w:val="center"/>
          </w:tcPr>
          <w:p>
            <w:pPr>
              <w:tabs>
                <w:tab w:val="left" w:pos="1337"/>
              </w:tabs>
              <w:spacing w:line="360" w:lineRule="auto"/>
              <w:jc w:val="left"/>
              <w:rPr>
                <w:rFonts w:ascii="仿宋" w:hAnsi="仿宋" w:eastAsia="仿宋" w:cs="仿宋"/>
                <w:bCs/>
                <w:color w:val="auto"/>
                <w:sz w:val="24"/>
                <w:highlight w:val="none"/>
              </w:rPr>
            </w:pPr>
          </w:p>
        </w:tc>
        <w:tc>
          <w:tcPr>
            <w:tcW w:w="850" w:type="dxa"/>
            <w:vAlign w:val="center"/>
          </w:tcPr>
          <w:p>
            <w:pPr>
              <w:tabs>
                <w:tab w:val="left" w:pos="1337"/>
              </w:tabs>
              <w:spacing w:line="360" w:lineRule="auto"/>
              <w:jc w:val="left"/>
              <w:rPr>
                <w:rFonts w:ascii="仿宋" w:hAnsi="仿宋" w:eastAsia="仿宋" w:cs="仿宋"/>
                <w:bCs/>
                <w:color w:val="auto"/>
                <w:sz w:val="24"/>
                <w:highlight w:val="none"/>
              </w:rPr>
            </w:pPr>
          </w:p>
        </w:tc>
        <w:tc>
          <w:tcPr>
            <w:tcW w:w="1219" w:type="dxa"/>
          </w:tcPr>
          <w:p>
            <w:pPr>
              <w:tabs>
                <w:tab w:val="left" w:pos="1337"/>
              </w:tabs>
              <w:spacing w:line="360" w:lineRule="auto"/>
              <w:jc w:val="left"/>
              <w:rPr>
                <w:rFonts w:ascii="仿宋" w:hAnsi="仿宋" w:eastAsia="仿宋" w:cs="仿宋"/>
                <w:bCs/>
                <w:color w:val="auto"/>
                <w:sz w:val="24"/>
                <w:highlight w:val="none"/>
              </w:rPr>
            </w:pPr>
          </w:p>
        </w:tc>
        <w:tc>
          <w:tcPr>
            <w:tcW w:w="2349" w:type="dxa"/>
            <w:vAlign w:val="center"/>
          </w:tcPr>
          <w:p>
            <w:pPr>
              <w:tabs>
                <w:tab w:val="left" w:pos="1337"/>
              </w:tabs>
              <w:spacing w:line="360" w:lineRule="auto"/>
              <w:jc w:val="left"/>
              <w:rPr>
                <w:rFonts w:ascii="仿宋" w:hAnsi="仿宋" w:eastAsia="仿宋" w:cs="仿宋"/>
                <w:bCs/>
                <w:color w:val="auto"/>
                <w:sz w:val="24"/>
                <w:highlight w:val="none"/>
              </w:rPr>
            </w:pPr>
          </w:p>
        </w:tc>
        <w:tc>
          <w:tcPr>
            <w:tcW w:w="783" w:type="dxa"/>
            <w:vAlign w:val="center"/>
          </w:tcPr>
          <w:p>
            <w:pPr>
              <w:tabs>
                <w:tab w:val="left" w:pos="1337"/>
              </w:tabs>
              <w:spacing w:line="360" w:lineRule="auto"/>
              <w:jc w:val="left"/>
              <w:rPr>
                <w:rFonts w:ascii="仿宋" w:hAnsi="仿宋" w:eastAsia="仿宋" w:cs="仿宋"/>
                <w:bCs/>
                <w:color w:val="auto"/>
                <w:sz w:val="24"/>
                <w:highlight w:val="none"/>
              </w:rPr>
            </w:pPr>
          </w:p>
        </w:tc>
        <w:tc>
          <w:tcPr>
            <w:tcW w:w="797" w:type="dxa"/>
            <w:vAlign w:val="center"/>
          </w:tcPr>
          <w:p>
            <w:pPr>
              <w:tabs>
                <w:tab w:val="left" w:pos="1337"/>
              </w:tabs>
              <w:spacing w:line="360" w:lineRule="auto"/>
              <w:jc w:val="left"/>
              <w:rPr>
                <w:rFonts w:ascii="仿宋" w:hAnsi="仿宋" w:eastAsia="仿宋" w:cs="仿宋"/>
                <w:bCs/>
                <w:color w:val="auto"/>
                <w:sz w:val="24"/>
                <w:highlight w:val="none"/>
              </w:rPr>
            </w:pPr>
          </w:p>
        </w:tc>
        <w:tc>
          <w:tcPr>
            <w:tcW w:w="900" w:type="dxa"/>
            <w:vAlign w:val="center"/>
          </w:tcPr>
          <w:p>
            <w:pPr>
              <w:tabs>
                <w:tab w:val="left" w:pos="1337"/>
              </w:tabs>
              <w:spacing w:line="360" w:lineRule="auto"/>
              <w:jc w:val="left"/>
              <w:rPr>
                <w:rFonts w:ascii="仿宋" w:hAnsi="仿宋" w:eastAsia="仿宋" w:cs="仿宋"/>
                <w:bCs/>
                <w:color w:val="auto"/>
                <w:sz w:val="24"/>
                <w:highlight w:val="none"/>
              </w:rPr>
            </w:pPr>
          </w:p>
        </w:tc>
        <w:tc>
          <w:tcPr>
            <w:tcW w:w="720" w:type="dxa"/>
            <w:vAlign w:val="center"/>
          </w:tcPr>
          <w:p>
            <w:pPr>
              <w:tabs>
                <w:tab w:val="left" w:pos="1337"/>
              </w:tabs>
              <w:spacing w:line="360" w:lineRule="auto"/>
              <w:jc w:val="left"/>
              <w:rPr>
                <w:rFonts w:ascii="仿宋" w:hAnsi="仿宋" w:eastAsia="仿宋" w:cs="仿宋"/>
                <w:bCs/>
                <w:color w:val="auto"/>
                <w:sz w:val="24"/>
                <w:highlight w:val="none"/>
              </w:rPr>
            </w:pPr>
          </w:p>
        </w:tc>
        <w:tc>
          <w:tcPr>
            <w:tcW w:w="715" w:type="dxa"/>
            <w:vAlign w:val="center"/>
          </w:tcPr>
          <w:p>
            <w:pPr>
              <w:tabs>
                <w:tab w:val="left" w:pos="1337"/>
              </w:tabs>
              <w:spacing w:line="360" w:lineRule="auto"/>
              <w:jc w:val="left"/>
              <w:rPr>
                <w:rFonts w:ascii="仿宋" w:hAnsi="仿宋" w:eastAsia="仿宋" w:cs="仿宋"/>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651" w:type="dxa"/>
            <w:vAlign w:val="center"/>
          </w:tcPr>
          <w:p>
            <w:pPr>
              <w:tabs>
                <w:tab w:val="left" w:pos="1337"/>
              </w:tabs>
              <w:spacing w:line="360" w:lineRule="auto"/>
              <w:jc w:val="left"/>
              <w:rPr>
                <w:rFonts w:ascii="仿宋" w:hAnsi="仿宋" w:eastAsia="仿宋" w:cs="仿宋"/>
                <w:bCs/>
                <w:color w:val="auto"/>
                <w:sz w:val="24"/>
                <w:highlight w:val="none"/>
              </w:rPr>
            </w:pPr>
          </w:p>
        </w:tc>
        <w:tc>
          <w:tcPr>
            <w:tcW w:w="802" w:type="dxa"/>
            <w:vAlign w:val="center"/>
          </w:tcPr>
          <w:p>
            <w:pPr>
              <w:tabs>
                <w:tab w:val="left" w:pos="1337"/>
              </w:tabs>
              <w:spacing w:line="360" w:lineRule="auto"/>
              <w:jc w:val="left"/>
              <w:rPr>
                <w:rFonts w:ascii="仿宋" w:hAnsi="仿宋" w:eastAsia="仿宋" w:cs="仿宋"/>
                <w:bCs/>
                <w:color w:val="auto"/>
                <w:sz w:val="24"/>
                <w:highlight w:val="none"/>
              </w:rPr>
            </w:pPr>
          </w:p>
        </w:tc>
        <w:tc>
          <w:tcPr>
            <w:tcW w:w="850" w:type="dxa"/>
            <w:vAlign w:val="center"/>
          </w:tcPr>
          <w:p>
            <w:pPr>
              <w:tabs>
                <w:tab w:val="left" w:pos="1337"/>
              </w:tabs>
              <w:spacing w:line="360" w:lineRule="auto"/>
              <w:jc w:val="left"/>
              <w:rPr>
                <w:rFonts w:ascii="仿宋" w:hAnsi="仿宋" w:eastAsia="仿宋" w:cs="仿宋"/>
                <w:bCs/>
                <w:color w:val="auto"/>
                <w:sz w:val="24"/>
                <w:highlight w:val="none"/>
              </w:rPr>
            </w:pPr>
          </w:p>
        </w:tc>
        <w:tc>
          <w:tcPr>
            <w:tcW w:w="1219" w:type="dxa"/>
          </w:tcPr>
          <w:p>
            <w:pPr>
              <w:tabs>
                <w:tab w:val="left" w:pos="1337"/>
              </w:tabs>
              <w:spacing w:line="360" w:lineRule="auto"/>
              <w:jc w:val="left"/>
              <w:rPr>
                <w:rFonts w:ascii="仿宋" w:hAnsi="仿宋" w:eastAsia="仿宋" w:cs="仿宋"/>
                <w:bCs/>
                <w:color w:val="auto"/>
                <w:sz w:val="24"/>
                <w:highlight w:val="none"/>
              </w:rPr>
            </w:pPr>
          </w:p>
        </w:tc>
        <w:tc>
          <w:tcPr>
            <w:tcW w:w="2349" w:type="dxa"/>
            <w:vAlign w:val="center"/>
          </w:tcPr>
          <w:p>
            <w:pPr>
              <w:tabs>
                <w:tab w:val="left" w:pos="1337"/>
              </w:tabs>
              <w:spacing w:line="360" w:lineRule="auto"/>
              <w:jc w:val="left"/>
              <w:rPr>
                <w:rFonts w:ascii="仿宋" w:hAnsi="仿宋" w:eastAsia="仿宋" w:cs="仿宋"/>
                <w:bCs/>
                <w:color w:val="auto"/>
                <w:sz w:val="24"/>
                <w:highlight w:val="none"/>
              </w:rPr>
            </w:pPr>
          </w:p>
        </w:tc>
        <w:tc>
          <w:tcPr>
            <w:tcW w:w="783" w:type="dxa"/>
            <w:vAlign w:val="center"/>
          </w:tcPr>
          <w:p>
            <w:pPr>
              <w:tabs>
                <w:tab w:val="left" w:pos="1337"/>
              </w:tabs>
              <w:spacing w:line="360" w:lineRule="auto"/>
              <w:jc w:val="left"/>
              <w:rPr>
                <w:rFonts w:ascii="仿宋" w:hAnsi="仿宋" w:eastAsia="仿宋" w:cs="仿宋"/>
                <w:bCs/>
                <w:color w:val="auto"/>
                <w:sz w:val="24"/>
                <w:highlight w:val="none"/>
              </w:rPr>
            </w:pPr>
          </w:p>
        </w:tc>
        <w:tc>
          <w:tcPr>
            <w:tcW w:w="797" w:type="dxa"/>
            <w:vAlign w:val="center"/>
          </w:tcPr>
          <w:p>
            <w:pPr>
              <w:tabs>
                <w:tab w:val="left" w:pos="1337"/>
              </w:tabs>
              <w:spacing w:line="360" w:lineRule="auto"/>
              <w:jc w:val="left"/>
              <w:rPr>
                <w:rFonts w:ascii="仿宋" w:hAnsi="仿宋" w:eastAsia="仿宋" w:cs="仿宋"/>
                <w:bCs/>
                <w:color w:val="auto"/>
                <w:sz w:val="24"/>
                <w:highlight w:val="none"/>
              </w:rPr>
            </w:pPr>
          </w:p>
        </w:tc>
        <w:tc>
          <w:tcPr>
            <w:tcW w:w="900" w:type="dxa"/>
            <w:vAlign w:val="center"/>
          </w:tcPr>
          <w:p>
            <w:pPr>
              <w:tabs>
                <w:tab w:val="left" w:pos="1337"/>
              </w:tabs>
              <w:spacing w:line="360" w:lineRule="auto"/>
              <w:jc w:val="left"/>
              <w:rPr>
                <w:rFonts w:ascii="仿宋" w:hAnsi="仿宋" w:eastAsia="仿宋" w:cs="仿宋"/>
                <w:bCs/>
                <w:color w:val="auto"/>
                <w:sz w:val="24"/>
                <w:highlight w:val="none"/>
              </w:rPr>
            </w:pPr>
          </w:p>
        </w:tc>
        <w:tc>
          <w:tcPr>
            <w:tcW w:w="720" w:type="dxa"/>
            <w:vAlign w:val="center"/>
          </w:tcPr>
          <w:p>
            <w:pPr>
              <w:tabs>
                <w:tab w:val="left" w:pos="1337"/>
              </w:tabs>
              <w:spacing w:line="360" w:lineRule="auto"/>
              <w:jc w:val="left"/>
              <w:rPr>
                <w:rFonts w:ascii="仿宋" w:hAnsi="仿宋" w:eastAsia="仿宋" w:cs="仿宋"/>
                <w:bCs/>
                <w:color w:val="auto"/>
                <w:sz w:val="24"/>
                <w:highlight w:val="none"/>
              </w:rPr>
            </w:pPr>
          </w:p>
        </w:tc>
        <w:tc>
          <w:tcPr>
            <w:tcW w:w="715" w:type="dxa"/>
            <w:vAlign w:val="center"/>
          </w:tcPr>
          <w:p>
            <w:pPr>
              <w:tabs>
                <w:tab w:val="left" w:pos="1337"/>
              </w:tabs>
              <w:spacing w:line="360" w:lineRule="auto"/>
              <w:jc w:val="left"/>
              <w:rPr>
                <w:rFonts w:ascii="仿宋" w:hAnsi="仿宋" w:eastAsia="仿宋" w:cs="仿宋"/>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651" w:type="dxa"/>
            <w:vAlign w:val="center"/>
          </w:tcPr>
          <w:p>
            <w:pPr>
              <w:tabs>
                <w:tab w:val="left" w:pos="1337"/>
              </w:tabs>
              <w:spacing w:line="360" w:lineRule="auto"/>
              <w:jc w:val="left"/>
              <w:rPr>
                <w:rFonts w:ascii="仿宋" w:hAnsi="仿宋" w:eastAsia="仿宋" w:cs="仿宋"/>
                <w:bCs/>
                <w:color w:val="auto"/>
                <w:sz w:val="24"/>
                <w:highlight w:val="none"/>
              </w:rPr>
            </w:pPr>
          </w:p>
        </w:tc>
        <w:tc>
          <w:tcPr>
            <w:tcW w:w="802" w:type="dxa"/>
            <w:vAlign w:val="center"/>
          </w:tcPr>
          <w:p>
            <w:pPr>
              <w:tabs>
                <w:tab w:val="left" w:pos="1337"/>
              </w:tabs>
              <w:spacing w:line="360" w:lineRule="auto"/>
              <w:jc w:val="left"/>
              <w:rPr>
                <w:rFonts w:ascii="仿宋" w:hAnsi="仿宋" w:eastAsia="仿宋" w:cs="仿宋"/>
                <w:bCs/>
                <w:color w:val="auto"/>
                <w:sz w:val="24"/>
                <w:highlight w:val="none"/>
              </w:rPr>
            </w:pPr>
          </w:p>
        </w:tc>
        <w:tc>
          <w:tcPr>
            <w:tcW w:w="850" w:type="dxa"/>
            <w:vAlign w:val="center"/>
          </w:tcPr>
          <w:p>
            <w:pPr>
              <w:tabs>
                <w:tab w:val="left" w:pos="1337"/>
              </w:tabs>
              <w:spacing w:line="360" w:lineRule="auto"/>
              <w:jc w:val="left"/>
              <w:rPr>
                <w:rFonts w:ascii="仿宋" w:hAnsi="仿宋" w:eastAsia="仿宋" w:cs="仿宋"/>
                <w:bCs/>
                <w:color w:val="auto"/>
                <w:sz w:val="24"/>
                <w:highlight w:val="none"/>
              </w:rPr>
            </w:pPr>
          </w:p>
        </w:tc>
        <w:tc>
          <w:tcPr>
            <w:tcW w:w="1219" w:type="dxa"/>
          </w:tcPr>
          <w:p>
            <w:pPr>
              <w:tabs>
                <w:tab w:val="left" w:pos="1337"/>
              </w:tabs>
              <w:spacing w:line="360" w:lineRule="auto"/>
              <w:jc w:val="left"/>
              <w:rPr>
                <w:rFonts w:ascii="仿宋" w:hAnsi="仿宋" w:eastAsia="仿宋" w:cs="仿宋"/>
                <w:bCs/>
                <w:color w:val="auto"/>
                <w:sz w:val="24"/>
                <w:highlight w:val="none"/>
              </w:rPr>
            </w:pPr>
          </w:p>
        </w:tc>
        <w:tc>
          <w:tcPr>
            <w:tcW w:w="2349" w:type="dxa"/>
            <w:vAlign w:val="center"/>
          </w:tcPr>
          <w:p>
            <w:pPr>
              <w:tabs>
                <w:tab w:val="left" w:pos="1337"/>
              </w:tabs>
              <w:spacing w:line="360" w:lineRule="auto"/>
              <w:jc w:val="left"/>
              <w:rPr>
                <w:rFonts w:ascii="仿宋" w:hAnsi="仿宋" w:eastAsia="仿宋" w:cs="仿宋"/>
                <w:bCs/>
                <w:color w:val="auto"/>
                <w:sz w:val="24"/>
                <w:highlight w:val="none"/>
              </w:rPr>
            </w:pPr>
          </w:p>
        </w:tc>
        <w:tc>
          <w:tcPr>
            <w:tcW w:w="783" w:type="dxa"/>
            <w:vAlign w:val="center"/>
          </w:tcPr>
          <w:p>
            <w:pPr>
              <w:tabs>
                <w:tab w:val="left" w:pos="1337"/>
              </w:tabs>
              <w:spacing w:line="360" w:lineRule="auto"/>
              <w:jc w:val="left"/>
              <w:rPr>
                <w:rFonts w:ascii="仿宋" w:hAnsi="仿宋" w:eastAsia="仿宋" w:cs="仿宋"/>
                <w:bCs/>
                <w:color w:val="auto"/>
                <w:sz w:val="24"/>
                <w:highlight w:val="none"/>
              </w:rPr>
            </w:pPr>
          </w:p>
        </w:tc>
        <w:tc>
          <w:tcPr>
            <w:tcW w:w="797" w:type="dxa"/>
            <w:vAlign w:val="center"/>
          </w:tcPr>
          <w:p>
            <w:pPr>
              <w:tabs>
                <w:tab w:val="left" w:pos="1337"/>
              </w:tabs>
              <w:spacing w:line="360" w:lineRule="auto"/>
              <w:jc w:val="left"/>
              <w:rPr>
                <w:rFonts w:ascii="仿宋" w:hAnsi="仿宋" w:eastAsia="仿宋" w:cs="仿宋"/>
                <w:bCs/>
                <w:color w:val="auto"/>
                <w:sz w:val="24"/>
                <w:highlight w:val="none"/>
              </w:rPr>
            </w:pPr>
          </w:p>
        </w:tc>
        <w:tc>
          <w:tcPr>
            <w:tcW w:w="900" w:type="dxa"/>
            <w:vAlign w:val="center"/>
          </w:tcPr>
          <w:p>
            <w:pPr>
              <w:tabs>
                <w:tab w:val="left" w:pos="1337"/>
              </w:tabs>
              <w:spacing w:line="360" w:lineRule="auto"/>
              <w:jc w:val="left"/>
              <w:rPr>
                <w:rFonts w:ascii="仿宋" w:hAnsi="仿宋" w:eastAsia="仿宋" w:cs="仿宋"/>
                <w:bCs/>
                <w:color w:val="auto"/>
                <w:sz w:val="24"/>
                <w:highlight w:val="none"/>
              </w:rPr>
            </w:pPr>
          </w:p>
        </w:tc>
        <w:tc>
          <w:tcPr>
            <w:tcW w:w="720" w:type="dxa"/>
            <w:vAlign w:val="center"/>
          </w:tcPr>
          <w:p>
            <w:pPr>
              <w:tabs>
                <w:tab w:val="left" w:pos="1337"/>
              </w:tabs>
              <w:spacing w:line="360" w:lineRule="auto"/>
              <w:jc w:val="left"/>
              <w:rPr>
                <w:rFonts w:ascii="仿宋" w:hAnsi="仿宋" w:eastAsia="仿宋" w:cs="仿宋"/>
                <w:bCs/>
                <w:color w:val="auto"/>
                <w:sz w:val="24"/>
                <w:highlight w:val="none"/>
              </w:rPr>
            </w:pPr>
          </w:p>
        </w:tc>
        <w:tc>
          <w:tcPr>
            <w:tcW w:w="715" w:type="dxa"/>
            <w:vAlign w:val="center"/>
          </w:tcPr>
          <w:p>
            <w:pPr>
              <w:tabs>
                <w:tab w:val="left" w:pos="1337"/>
              </w:tabs>
              <w:spacing w:line="360" w:lineRule="auto"/>
              <w:jc w:val="left"/>
              <w:rPr>
                <w:rFonts w:ascii="仿宋" w:hAnsi="仿宋" w:eastAsia="仿宋" w:cs="仿宋"/>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15" w:hRule="atLeast"/>
          <w:jc w:val="center"/>
        </w:trPr>
        <w:tc>
          <w:tcPr>
            <w:tcW w:w="651" w:type="dxa"/>
            <w:vAlign w:val="center"/>
          </w:tcPr>
          <w:p>
            <w:pPr>
              <w:tabs>
                <w:tab w:val="left" w:pos="1337"/>
              </w:tabs>
              <w:spacing w:line="360" w:lineRule="auto"/>
              <w:jc w:val="left"/>
              <w:rPr>
                <w:rFonts w:ascii="仿宋" w:hAnsi="仿宋" w:eastAsia="仿宋" w:cs="仿宋"/>
                <w:bCs/>
                <w:color w:val="auto"/>
                <w:sz w:val="24"/>
                <w:highlight w:val="none"/>
              </w:rPr>
            </w:pPr>
          </w:p>
        </w:tc>
        <w:tc>
          <w:tcPr>
            <w:tcW w:w="802" w:type="dxa"/>
            <w:vAlign w:val="center"/>
          </w:tcPr>
          <w:p>
            <w:pPr>
              <w:tabs>
                <w:tab w:val="left" w:pos="1337"/>
              </w:tabs>
              <w:spacing w:line="360" w:lineRule="auto"/>
              <w:jc w:val="left"/>
              <w:rPr>
                <w:rFonts w:ascii="仿宋" w:hAnsi="仿宋" w:eastAsia="仿宋" w:cs="仿宋"/>
                <w:bCs/>
                <w:color w:val="auto"/>
                <w:sz w:val="24"/>
                <w:highlight w:val="none"/>
              </w:rPr>
            </w:pPr>
          </w:p>
        </w:tc>
        <w:tc>
          <w:tcPr>
            <w:tcW w:w="850" w:type="dxa"/>
            <w:vAlign w:val="center"/>
          </w:tcPr>
          <w:p>
            <w:pPr>
              <w:tabs>
                <w:tab w:val="left" w:pos="1337"/>
              </w:tabs>
              <w:spacing w:line="360" w:lineRule="auto"/>
              <w:jc w:val="left"/>
              <w:rPr>
                <w:rFonts w:ascii="仿宋" w:hAnsi="仿宋" w:eastAsia="仿宋" w:cs="仿宋"/>
                <w:bCs/>
                <w:color w:val="auto"/>
                <w:sz w:val="24"/>
                <w:highlight w:val="none"/>
              </w:rPr>
            </w:pPr>
          </w:p>
        </w:tc>
        <w:tc>
          <w:tcPr>
            <w:tcW w:w="1219" w:type="dxa"/>
          </w:tcPr>
          <w:p>
            <w:pPr>
              <w:tabs>
                <w:tab w:val="left" w:pos="1337"/>
              </w:tabs>
              <w:spacing w:line="360" w:lineRule="auto"/>
              <w:jc w:val="left"/>
              <w:rPr>
                <w:rFonts w:ascii="仿宋" w:hAnsi="仿宋" w:eastAsia="仿宋" w:cs="仿宋"/>
                <w:bCs/>
                <w:color w:val="auto"/>
                <w:sz w:val="24"/>
                <w:highlight w:val="none"/>
              </w:rPr>
            </w:pPr>
          </w:p>
        </w:tc>
        <w:tc>
          <w:tcPr>
            <w:tcW w:w="2349" w:type="dxa"/>
            <w:vAlign w:val="center"/>
          </w:tcPr>
          <w:p>
            <w:pPr>
              <w:tabs>
                <w:tab w:val="left" w:pos="1337"/>
              </w:tabs>
              <w:spacing w:line="360" w:lineRule="auto"/>
              <w:jc w:val="left"/>
              <w:rPr>
                <w:rFonts w:ascii="仿宋" w:hAnsi="仿宋" w:eastAsia="仿宋" w:cs="仿宋"/>
                <w:bCs/>
                <w:color w:val="auto"/>
                <w:sz w:val="24"/>
                <w:highlight w:val="none"/>
              </w:rPr>
            </w:pPr>
          </w:p>
        </w:tc>
        <w:tc>
          <w:tcPr>
            <w:tcW w:w="783" w:type="dxa"/>
            <w:vAlign w:val="center"/>
          </w:tcPr>
          <w:p>
            <w:pPr>
              <w:tabs>
                <w:tab w:val="left" w:pos="1337"/>
              </w:tabs>
              <w:spacing w:line="360" w:lineRule="auto"/>
              <w:jc w:val="left"/>
              <w:rPr>
                <w:rFonts w:ascii="仿宋" w:hAnsi="仿宋" w:eastAsia="仿宋" w:cs="仿宋"/>
                <w:bCs/>
                <w:color w:val="auto"/>
                <w:sz w:val="24"/>
                <w:highlight w:val="none"/>
              </w:rPr>
            </w:pPr>
          </w:p>
        </w:tc>
        <w:tc>
          <w:tcPr>
            <w:tcW w:w="797" w:type="dxa"/>
            <w:vAlign w:val="center"/>
          </w:tcPr>
          <w:p>
            <w:pPr>
              <w:tabs>
                <w:tab w:val="left" w:pos="1337"/>
              </w:tabs>
              <w:spacing w:line="360" w:lineRule="auto"/>
              <w:jc w:val="left"/>
              <w:rPr>
                <w:rFonts w:ascii="仿宋" w:hAnsi="仿宋" w:eastAsia="仿宋" w:cs="仿宋"/>
                <w:bCs/>
                <w:color w:val="auto"/>
                <w:sz w:val="24"/>
                <w:highlight w:val="none"/>
              </w:rPr>
            </w:pPr>
          </w:p>
        </w:tc>
        <w:tc>
          <w:tcPr>
            <w:tcW w:w="900" w:type="dxa"/>
            <w:vAlign w:val="center"/>
          </w:tcPr>
          <w:p>
            <w:pPr>
              <w:tabs>
                <w:tab w:val="left" w:pos="1337"/>
              </w:tabs>
              <w:spacing w:line="360" w:lineRule="auto"/>
              <w:jc w:val="left"/>
              <w:rPr>
                <w:rFonts w:ascii="仿宋" w:hAnsi="仿宋" w:eastAsia="仿宋" w:cs="仿宋"/>
                <w:bCs/>
                <w:color w:val="auto"/>
                <w:sz w:val="24"/>
                <w:highlight w:val="none"/>
              </w:rPr>
            </w:pPr>
          </w:p>
        </w:tc>
        <w:tc>
          <w:tcPr>
            <w:tcW w:w="720" w:type="dxa"/>
            <w:vAlign w:val="center"/>
          </w:tcPr>
          <w:p>
            <w:pPr>
              <w:tabs>
                <w:tab w:val="left" w:pos="1337"/>
              </w:tabs>
              <w:spacing w:line="360" w:lineRule="auto"/>
              <w:jc w:val="left"/>
              <w:rPr>
                <w:rFonts w:ascii="仿宋" w:hAnsi="仿宋" w:eastAsia="仿宋" w:cs="仿宋"/>
                <w:bCs/>
                <w:color w:val="auto"/>
                <w:sz w:val="24"/>
                <w:highlight w:val="none"/>
              </w:rPr>
            </w:pPr>
          </w:p>
        </w:tc>
        <w:tc>
          <w:tcPr>
            <w:tcW w:w="715" w:type="dxa"/>
            <w:vAlign w:val="center"/>
          </w:tcPr>
          <w:p>
            <w:pPr>
              <w:tabs>
                <w:tab w:val="left" w:pos="1337"/>
              </w:tabs>
              <w:spacing w:line="360" w:lineRule="auto"/>
              <w:jc w:val="left"/>
              <w:rPr>
                <w:rFonts w:ascii="仿宋" w:hAnsi="仿宋" w:eastAsia="仿宋" w:cs="仿宋"/>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651" w:type="dxa"/>
            <w:vAlign w:val="center"/>
          </w:tcPr>
          <w:p>
            <w:pPr>
              <w:tabs>
                <w:tab w:val="left" w:pos="1337"/>
              </w:tabs>
              <w:spacing w:line="360" w:lineRule="auto"/>
              <w:jc w:val="left"/>
              <w:rPr>
                <w:rFonts w:ascii="仿宋" w:hAnsi="仿宋" w:eastAsia="仿宋" w:cs="仿宋"/>
                <w:bCs/>
                <w:color w:val="auto"/>
                <w:sz w:val="24"/>
                <w:highlight w:val="none"/>
              </w:rPr>
            </w:pPr>
          </w:p>
        </w:tc>
        <w:tc>
          <w:tcPr>
            <w:tcW w:w="802" w:type="dxa"/>
            <w:vAlign w:val="center"/>
          </w:tcPr>
          <w:p>
            <w:pPr>
              <w:tabs>
                <w:tab w:val="left" w:pos="1337"/>
              </w:tabs>
              <w:spacing w:line="360" w:lineRule="auto"/>
              <w:jc w:val="left"/>
              <w:rPr>
                <w:rFonts w:ascii="仿宋" w:hAnsi="仿宋" w:eastAsia="仿宋" w:cs="仿宋"/>
                <w:bCs/>
                <w:color w:val="auto"/>
                <w:sz w:val="24"/>
                <w:highlight w:val="none"/>
              </w:rPr>
            </w:pPr>
          </w:p>
        </w:tc>
        <w:tc>
          <w:tcPr>
            <w:tcW w:w="850" w:type="dxa"/>
            <w:vAlign w:val="center"/>
          </w:tcPr>
          <w:p>
            <w:pPr>
              <w:tabs>
                <w:tab w:val="left" w:pos="1337"/>
              </w:tabs>
              <w:spacing w:line="360" w:lineRule="auto"/>
              <w:jc w:val="left"/>
              <w:rPr>
                <w:rFonts w:ascii="仿宋" w:hAnsi="仿宋" w:eastAsia="仿宋" w:cs="仿宋"/>
                <w:bCs/>
                <w:color w:val="auto"/>
                <w:sz w:val="24"/>
                <w:highlight w:val="none"/>
              </w:rPr>
            </w:pPr>
          </w:p>
        </w:tc>
        <w:tc>
          <w:tcPr>
            <w:tcW w:w="1219" w:type="dxa"/>
          </w:tcPr>
          <w:p>
            <w:pPr>
              <w:tabs>
                <w:tab w:val="left" w:pos="1337"/>
              </w:tabs>
              <w:spacing w:line="360" w:lineRule="auto"/>
              <w:jc w:val="left"/>
              <w:rPr>
                <w:rFonts w:ascii="仿宋" w:hAnsi="仿宋" w:eastAsia="仿宋" w:cs="仿宋"/>
                <w:bCs/>
                <w:color w:val="auto"/>
                <w:sz w:val="24"/>
                <w:highlight w:val="none"/>
              </w:rPr>
            </w:pPr>
          </w:p>
        </w:tc>
        <w:tc>
          <w:tcPr>
            <w:tcW w:w="2349" w:type="dxa"/>
            <w:vAlign w:val="center"/>
          </w:tcPr>
          <w:p>
            <w:pPr>
              <w:tabs>
                <w:tab w:val="left" w:pos="1337"/>
              </w:tabs>
              <w:spacing w:line="360" w:lineRule="auto"/>
              <w:jc w:val="left"/>
              <w:rPr>
                <w:rFonts w:ascii="仿宋" w:hAnsi="仿宋" w:eastAsia="仿宋" w:cs="仿宋"/>
                <w:bCs/>
                <w:color w:val="auto"/>
                <w:sz w:val="24"/>
                <w:highlight w:val="none"/>
              </w:rPr>
            </w:pPr>
          </w:p>
        </w:tc>
        <w:tc>
          <w:tcPr>
            <w:tcW w:w="783" w:type="dxa"/>
            <w:vAlign w:val="center"/>
          </w:tcPr>
          <w:p>
            <w:pPr>
              <w:tabs>
                <w:tab w:val="left" w:pos="1337"/>
              </w:tabs>
              <w:spacing w:line="360" w:lineRule="auto"/>
              <w:jc w:val="left"/>
              <w:rPr>
                <w:rFonts w:ascii="仿宋" w:hAnsi="仿宋" w:eastAsia="仿宋" w:cs="仿宋"/>
                <w:bCs/>
                <w:color w:val="auto"/>
                <w:sz w:val="24"/>
                <w:highlight w:val="none"/>
              </w:rPr>
            </w:pPr>
          </w:p>
        </w:tc>
        <w:tc>
          <w:tcPr>
            <w:tcW w:w="797" w:type="dxa"/>
            <w:vAlign w:val="center"/>
          </w:tcPr>
          <w:p>
            <w:pPr>
              <w:tabs>
                <w:tab w:val="left" w:pos="1337"/>
              </w:tabs>
              <w:spacing w:line="360" w:lineRule="auto"/>
              <w:jc w:val="left"/>
              <w:rPr>
                <w:rFonts w:ascii="仿宋" w:hAnsi="仿宋" w:eastAsia="仿宋" w:cs="仿宋"/>
                <w:bCs/>
                <w:color w:val="auto"/>
                <w:sz w:val="24"/>
                <w:highlight w:val="none"/>
              </w:rPr>
            </w:pPr>
          </w:p>
        </w:tc>
        <w:tc>
          <w:tcPr>
            <w:tcW w:w="900" w:type="dxa"/>
            <w:vAlign w:val="center"/>
          </w:tcPr>
          <w:p>
            <w:pPr>
              <w:tabs>
                <w:tab w:val="left" w:pos="1337"/>
              </w:tabs>
              <w:spacing w:line="360" w:lineRule="auto"/>
              <w:jc w:val="left"/>
              <w:rPr>
                <w:rFonts w:ascii="仿宋" w:hAnsi="仿宋" w:eastAsia="仿宋" w:cs="仿宋"/>
                <w:bCs/>
                <w:color w:val="auto"/>
                <w:sz w:val="24"/>
                <w:highlight w:val="none"/>
              </w:rPr>
            </w:pPr>
          </w:p>
        </w:tc>
        <w:tc>
          <w:tcPr>
            <w:tcW w:w="720" w:type="dxa"/>
            <w:vAlign w:val="center"/>
          </w:tcPr>
          <w:p>
            <w:pPr>
              <w:tabs>
                <w:tab w:val="left" w:pos="1337"/>
              </w:tabs>
              <w:spacing w:line="360" w:lineRule="auto"/>
              <w:jc w:val="left"/>
              <w:rPr>
                <w:rFonts w:ascii="仿宋" w:hAnsi="仿宋" w:eastAsia="仿宋" w:cs="仿宋"/>
                <w:bCs/>
                <w:color w:val="auto"/>
                <w:sz w:val="24"/>
                <w:highlight w:val="none"/>
              </w:rPr>
            </w:pPr>
          </w:p>
        </w:tc>
        <w:tc>
          <w:tcPr>
            <w:tcW w:w="715" w:type="dxa"/>
            <w:vAlign w:val="center"/>
          </w:tcPr>
          <w:p>
            <w:pPr>
              <w:tabs>
                <w:tab w:val="left" w:pos="1337"/>
              </w:tabs>
              <w:spacing w:line="360" w:lineRule="auto"/>
              <w:jc w:val="left"/>
              <w:rPr>
                <w:rFonts w:ascii="仿宋" w:hAnsi="仿宋" w:eastAsia="仿宋" w:cs="仿宋"/>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651" w:type="dxa"/>
            <w:vAlign w:val="center"/>
          </w:tcPr>
          <w:p>
            <w:pPr>
              <w:tabs>
                <w:tab w:val="left" w:pos="1337"/>
              </w:tabs>
              <w:spacing w:line="360" w:lineRule="auto"/>
              <w:jc w:val="left"/>
              <w:rPr>
                <w:rFonts w:ascii="仿宋" w:hAnsi="仿宋" w:eastAsia="仿宋" w:cs="仿宋"/>
                <w:bCs/>
                <w:color w:val="auto"/>
                <w:sz w:val="24"/>
                <w:highlight w:val="none"/>
              </w:rPr>
            </w:pPr>
          </w:p>
        </w:tc>
        <w:tc>
          <w:tcPr>
            <w:tcW w:w="802" w:type="dxa"/>
            <w:vAlign w:val="center"/>
          </w:tcPr>
          <w:p>
            <w:pPr>
              <w:tabs>
                <w:tab w:val="left" w:pos="1337"/>
              </w:tabs>
              <w:spacing w:line="360" w:lineRule="auto"/>
              <w:jc w:val="left"/>
              <w:rPr>
                <w:rFonts w:ascii="仿宋" w:hAnsi="仿宋" w:eastAsia="仿宋" w:cs="仿宋"/>
                <w:bCs/>
                <w:color w:val="auto"/>
                <w:sz w:val="24"/>
                <w:highlight w:val="none"/>
              </w:rPr>
            </w:pPr>
          </w:p>
        </w:tc>
        <w:tc>
          <w:tcPr>
            <w:tcW w:w="850" w:type="dxa"/>
            <w:vAlign w:val="center"/>
          </w:tcPr>
          <w:p>
            <w:pPr>
              <w:tabs>
                <w:tab w:val="left" w:pos="1337"/>
              </w:tabs>
              <w:spacing w:line="360" w:lineRule="auto"/>
              <w:jc w:val="left"/>
              <w:rPr>
                <w:rFonts w:ascii="仿宋" w:hAnsi="仿宋" w:eastAsia="仿宋" w:cs="仿宋"/>
                <w:bCs/>
                <w:color w:val="auto"/>
                <w:sz w:val="24"/>
                <w:highlight w:val="none"/>
              </w:rPr>
            </w:pPr>
          </w:p>
        </w:tc>
        <w:tc>
          <w:tcPr>
            <w:tcW w:w="1219" w:type="dxa"/>
          </w:tcPr>
          <w:p>
            <w:pPr>
              <w:tabs>
                <w:tab w:val="left" w:pos="1337"/>
              </w:tabs>
              <w:spacing w:line="360" w:lineRule="auto"/>
              <w:jc w:val="left"/>
              <w:rPr>
                <w:rFonts w:ascii="仿宋" w:hAnsi="仿宋" w:eastAsia="仿宋" w:cs="仿宋"/>
                <w:bCs/>
                <w:color w:val="auto"/>
                <w:sz w:val="24"/>
                <w:highlight w:val="none"/>
              </w:rPr>
            </w:pPr>
          </w:p>
        </w:tc>
        <w:tc>
          <w:tcPr>
            <w:tcW w:w="2349" w:type="dxa"/>
            <w:vAlign w:val="center"/>
          </w:tcPr>
          <w:p>
            <w:pPr>
              <w:tabs>
                <w:tab w:val="left" w:pos="1337"/>
              </w:tabs>
              <w:spacing w:line="360" w:lineRule="auto"/>
              <w:jc w:val="left"/>
              <w:rPr>
                <w:rFonts w:ascii="仿宋" w:hAnsi="仿宋" w:eastAsia="仿宋" w:cs="仿宋"/>
                <w:bCs/>
                <w:color w:val="auto"/>
                <w:sz w:val="24"/>
                <w:highlight w:val="none"/>
              </w:rPr>
            </w:pPr>
          </w:p>
        </w:tc>
        <w:tc>
          <w:tcPr>
            <w:tcW w:w="783" w:type="dxa"/>
            <w:vAlign w:val="center"/>
          </w:tcPr>
          <w:p>
            <w:pPr>
              <w:tabs>
                <w:tab w:val="left" w:pos="1337"/>
              </w:tabs>
              <w:spacing w:line="360" w:lineRule="auto"/>
              <w:jc w:val="left"/>
              <w:rPr>
                <w:rFonts w:ascii="仿宋" w:hAnsi="仿宋" w:eastAsia="仿宋" w:cs="仿宋"/>
                <w:bCs/>
                <w:color w:val="auto"/>
                <w:sz w:val="24"/>
                <w:highlight w:val="none"/>
              </w:rPr>
            </w:pPr>
          </w:p>
        </w:tc>
        <w:tc>
          <w:tcPr>
            <w:tcW w:w="797" w:type="dxa"/>
            <w:vAlign w:val="center"/>
          </w:tcPr>
          <w:p>
            <w:pPr>
              <w:tabs>
                <w:tab w:val="left" w:pos="1337"/>
              </w:tabs>
              <w:spacing w:line="360" w:lineRule="auto"/>
              <w:jc w:val="left"/>
              <w:rPr>
                <w:rFonts w:ascii="仿宋" w:hAnsi="仿宋" w:eastAsia="仿宋" w:cs="仿宋"/>
                <w:bCs/>
                <w:color w:val="auto"/>
                <w:sz w:val="24"/>
                <w:highlight w:val="none"/>
              </w:rPr>
            </w:pPr>
          </w:p>
        </w:tc>
        <w:tc>
          <w:tcPr>
            <w:tcW w:w="900" w:type="dxa"/>
            <w:vAlign w:val="center"/>
          </w:tcPr>
          <w:p>
            <w:pPr>
              <w:tabs>
                <w:tab w:val="left" w:pos="1337"/>
              </w:tabs>
              <w:spacing w:line="360" w:lineRule="auto"/>
              <w:jc w:val="left"/>
              <w:rPr>
                <w:rFonts w:ascii="仿宋" w:hAnsi="仿宋" w:eastAsia="仿宋" w:cs="仿宋"/>
                <w:bCs/>
                <w:color w:val="auto"/>
                <w:sz w:val="24"/>
                <w:highlight w:val="none"/>
              </w:rPr>
            </w:pPr>
          </w:p>
        </w:tc>
        <w:tc>
          <w:tcPr>
            <w:tcW w:w="720" w:type="dxa"/>
            <w:vAlign w:val="center"/>
          </w:tcPr>
          <w:p>
            <w:pPr>
              <w:tabs>
                <w:tab w:val="left" w:pos="1337"/>
              </w:tabs>
              <w:spacing w:line="360" w:lineRule="auto"/>
              <w:jc w:val="left"/>
              <w:rPr>
                <w:rFonts w:ascii="仿宋" w:hAnsi="仿宋" w:eastAsia="仿宋" w:cs="仿宋"/>
                <w:bCs/>
                <w:color w:val="auto"/>
                <w:sz w:val="24"/>
                <w:highlight w:val="none"/>
              </w:rPr>
            </w:pPr>
          </w:p>
        </w:tc>
        <w:tc>
          <w:tcPr>
            <w:tcW w:w="715" w:type="dxa"/>
            <w:vAlign w:val="center"/>
          </w:tcPr>
          <w:p>
            <w:pPr>
              <w:tabs>
                <w:tab w:val="left" w:pos="1337"/>
              </w:tabs>
              <w:spacing w:line="360" w:lineRule="auto"/>
              <w:jc w:val="left"/>
              <w:rPr>
                <w:rFonts w:ascii="仿宋" w:hAnsi="仿宋" w:eastAsia="仿宋" w:cs="仿宋"/>
                <w:bCs/>
                <w:color w:val="auto"/>
                <w:sz w:val="24"/>
                <w:highlight w:val="none"/>
              </w:rPr>
            </w:pPr>
          </w:p>
        </w:tc>
      </w:tr>
    </w:tbl>
    <w:p>
      <w:pPr>
        <w:tabs>
          <w:tab w:val="left" w:pos="0"/>
          <w:tab w:val="left" w:pos="720"/>
          <w:tab w:val="left" w:pos="1440"/>
          <w:tab w:val="left" w:pos="2160"/>
          <w:tab w:val="left" w:pos="2880"/>
          <w:tab w:val="left" w:pos="3600"/>
          <w:tab w:val="left" w:pos="4320"/>
        </w:tabs>
        <w:autoSpaceDE w:val="0"/>
        <w:autoSpaceDN w:val="0"/>
        <w:adjustRightInd w:val="0"/>
        <w:spacing w:line="360" w:lineRule="auto"/>
        <w:jc w:val="left"/>
        <w:rPr>
          <w:rFonts w:ascii="仿宋" w:hAnsi="仿宋" w:eastAsia="仿宋" w:cs="仿宋"/>
          <w:color w:val="auto"/>
          <w:sz w:val="24"/>
          <w:szCs w:val="24"/>
          <w:highlight w:val="none"/>
        </w:rPr>
      </w:pPr>
    </w:p>
    <w:p>
      <w:pPr>
        <w:spacing w:line="440" w:lineRule="exact"/>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注：1.技术规格应详细写明所投产品详细配置，严禁复制招标文件中的技术指标。</w:t>
      </w:r>
    </w:p>
    <w:p>
      <w:pPr>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2.不得漏项。</w:t>
      </w:r>
    </w:p>
    <w:p>
      <w:pPr>
        <w:spacing w:line="44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3.出现上述问题可视情况做无效投标。</w:t>
      </w:r>
    </w:p>
    <w:p>
      <w:pPr>
        <w:widowControl/>
        <w:autoSpaceDE w:val="0"/>
        <w:autoSpaceDN w:val="0"/>
        <w:adjustRightInd w:val="0"/>
        <w:spacing w:line="440" w:lineRule="exact"/>
        <w:ind w:firstLine="3000" w:firstLineChars="1250"/>
        <w:jc w:val="left"/>
        <w:rPr>
          <w:rFonts w:ascii="仿宋" w:hAnsi="仿宋" w:eastAsia="仿宋" w:cs="仿宋"/>
          <w:color w:val="auto"/>
          <w:kern w:val="1"/>
          <w:sz w:val="24"/>
          <w:szCs w:val="24"/>
          <w:highlight w:val="none"/>
        </w:rPr>
      </w:pPr>
      <w:r>
        <w:rPr>
          <w:rFonts w:hint="eastAsia" w:ascii="仿宋" w:hAnsi="仿宋" w:eastAsia="仿宋" w:cs="仿宋"/>
          <w:color w:val="auto"/>
          <w:kern w:val="1"/>
          <w:sz w:val="24"/>
          <w:szCs w:val="24"/>
          <w:highlight w:val="none"/>
        </w:rPr>
        <w:t>投标人名称（公章）：</w:t>
      </w:r>
    </w:p>
    <w:p>
      <w:pPr>
        <w:spacing w:line="440" w:lineRule="exact"/>
        <w:ind w:firstLine="3000" w:firstLineChars="1250"/>
        <w:jc w:val="left"/>
        <w:rPr>
          <w:rFonts w:ascii="仿宋" w:hAnsi="仿宋" w:eastAsia="仿宋" w:cs="仿宋"/>
          <w:color w:val="auto"/>
          <w:kern w:val="1"/>
          <w:sz w:val="24"/>
          <w:szCs w:val="24"/>
          <w:highlight w:val="none"/>
        </w:rPr>
      </w:pPr>
      <w:r>
        <w:rPr>
          <w:rFonts w:hint="eastAsia" w:ascii="仿宋" w:hAnsi="仿宋" w:eastAsia="仿宋" w:cs="仿宋"/>
          <w:color w:val="auto"/>
          <w:kern w:val="1"/>
          <w:sz w:val="24"/>
          <w:szCs w:val="24"/>
          <w:highlight w:val="none"/>
        </w:rPr>
        <w:t>投标人法定代表人或者被授权代表（签字）：</w:t>
      </w:r>
    </w:p>
    <w:p>
      <w:pPr>
        <w:spacing w:line="440" w:lineRule="exact"/>
        <w:ind w:firstLine="3000" w:firstLineChars="1250"/>
        <w:jc w:val="left"/>
        <w:rPr>
          <w:rFonts w:ascii="仿宋" w:hAnsi="仿宋" w:eastAsia="仿宋" w:cs="仿宋"/>
          <w:color w:val="auto"/>
          <w:sz w:val="24"/>
          <w:szCs w:val="24"/>
          <w:highlight w:val="none"/>
        </w:rPr>
      </w:pPr>
      <w:r>
        <w:rPr>
          <w:rFonts w:hint="eastAsia" w:ascii="仿宋" w:hAnsi="仿宋" w:eastAsia="仿宋" w:cs="仿宋"/>
          <w:color w:val="auto"/>
          <w:kern w:val="1"/>
          <w:sz w:val="24"/>
          <w:szCs w:val="24"/>
          <w:highlight w:val="none"/>
        </w:rPr>
        <w:t>日期：</w:t>
      </w:r>
    </w:p>
    <w:p>
      <w:pPr>
        <w:pStyle w:val="34"/>
        <w:spacing w:line="360" w:lineRule="auto"/>
        <w:outlineLvl w:val="9"/>
        <w:rPr>
          <w:rFonts w:ascii="仿宋" w:hAnsi="仿宋" w:eastAsia="仿宋" w:cs="仿宋"/>
          <w:color w:val="auto"/>
          <w:sz w:val="24"/>
          <w:szCs w:val="24"/>
          <w:highlight w:val="none"/>
        </w:rPr>
      </w:pPr>
    </w:p>
    <w:p>
      <w:pPr>
        <w:pStyle w:val="34"/>
        <w:spacing w:line="360" w:lineRule="auto"/>
        <w:outlineLvl w:val="1"/>
        <w:rPr>
          <w:rFonts w:ascii="仿宋" w:hAnsi="仿宋" w:eastAsia="仿宋" w:cs="仿宋"/>
          <w:b w:val="0"/>
          <w:color w:val="auto"/>
          <w:sz w:val="28"/>
          <w:szCs w:val="28"/>
          <w:highlight w:val="none"/>
        </w:rPr>
      </w:pPr>
      <w:bookmarkStart w:id="105" w:name="_Toc19008"/>
      <w:bookmarkStart w:id="106" w:name="_Toc323130139"/>
      <w:bookmarkStart w:id="107" w:name="_Toc323129572"/>
      <w:bookmarkStart w:id="108" w:name="_Toc325620733"/>
      <w:r>
        <w:rPr>
          <w:rFonts w:hint="eastAsia" w:ascii="仿宋" w:hAnsi="仿宋" w:eastAsia="仿宋" w:cs="仿宋"/>
          <w:b w:val="0"/>
          <w:color w:val="auto"/>
          <w:sz w:val="28"/>
          <w:szCs w:val="28"/>
          <w:highlight w:val="none"/>
        </w:rPr>
        <w:t>附件7：备品备件报价表</w:t>
      </w:r>
      <w:bookmarkEnd w:id="105"/>
    </w:p>
    <w:p>
      <w:pPr>
        <w:pStyle w:val="14"/>
        <w:spacing w:before="0" w:after="0" w:line="360" w:lineRule="auto"/>
        <w:ind w:right="378" w:rightChars="135"/>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备品备件报价表</w:t>
      </w:r>
    </w:p>
    <w:p>
      <w:pPr>
        <w:spacing w:line="360" w:lineRule="auto"/>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质保期内提供的随机备件，计入投标总价：</w:t>
      </w:r>
    </w:p>
    <w:tbl>
      <w:tblPr>
        <w:tblStyle w:val="37"/>
        <w:tblW w:w="5000" w:type="pct"/>
        <w:jc w:val="center"/>
        <w:tblLayout w:type="autofit"/>
        <w:tblCellMar>
          <w:top w:w="0" w:type="dxa"/>
          <w:left w:w="30" w:type="dxa"/>
          <w:bottom w:w="0" w:type="dxa"/>
          <w:right w:w="30" w:type="dxa"/>
        </w:tblCellMar>
      </w:tblPr>
      <w:tblGrid>
        <w:gridCol w:w="1023"/>
        <w:gridCol w:w="1548"/>
        <w:gridCol w:w="1410"/>
        <w:gridCol w:w="1019"/>
        <w:gridCol w:w="1968"/>
        <w:gridCol w:w="1959"/>
      </w:tblGrid>
      <w:tr>
        <w:tblPrEx>
          <w:tblCellMar>
            <w:top w:w="0" w:type="dxa"/>
            <w:left w:w="30" w:type="dxa"/>
            <w:bottom w:w="0" w:type="dxa"/>
            <w:right w:w="30" w:type="dxa"/>
          </w:tblCellMar>
        </w:tblPrEx>
        <w:trPr>
          <w:cantSplit/>
          <w:trHeight w:val="606" w:hRule="atLeast"/>
          <w:jc w:val="center"/>
        </w:trPr>
        <w:tc>
          <w:tcPr>
            <w:tcW w:w="573" w:type="pct"/>
            <w:tcBorders>
              <w:top w:val="single" w:color="auto" w:sz="6" w:space="0"/>
              <w:left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867" w:type="pct"/>
            <w:tcBorders>
              <w:top w:val="single" w:color="auto" w:sz="6" w:space="0"/>
              <w:left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名称</w:t>
            </w:r>
          </w:p>
        </w:tc>
        <w:tc>
          <w:tcPr>
            <w:tcW w:w="790" w:type="pct"/>
            <w:tcBorders>
              <w:top w:val="single" w:color="auto" w:sz="6" w:space="0"/>
              <w:left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型号</w:t>
            </w:r>
          </w:p>
        </w:tc>
        <w:tc>
          <w:tcPr>
            <w:tcW w:w="571" w:type="pct"/>
            <w:tcBorders>
              <w:top w:val="single" w:color="auto" w:sz="6" w:space="0"/>
              <w:left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数量</w:t>
            </w:r>
          </w:p>
        </w:tc>
        <w:tc>
          <w:tcPr>
            <w:tcW w:w="1102" w:type="pct"/>
            <w:tcBorders>
              <w:top w:val="single" w:color="auto" w:sz="6" w:space="0"/>
              <w:left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单价</w:t>
            </w:r>
          </w:p>
        </w:tc>
        <w:tc>
          <w:tcPr>
            <w:tcW w:w="1097" w:type="pct"/>
            <w:tcBorders>
              <w:top w:val="single" w:color="auto" w:sz="6" w:space="0"/>
              <w:left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r>
      <w:tr>
        <w:tblPrEx>
          <w:tblCellMar>
            <w:top w:w="0" w:type="dxa"/>
            <w:left w:w="30" w:type="dxa"/>
            <w:bottom w:w="0" w:type="dxa"/>
            <w:right w:w="30" w:type="dxa"/>
          </w:tblCellMar>
        </w:tblPrEx>
        <w:trPr>
          <w:cantSplit/>
          <w:trHeight w:val="625" w:hRule="atLeast"/>
          <w:jc w:val="center"/>
        </w:trPr>
        <w:tc>
          <w:tcPr>
            <w:tcW w:w="573"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color w:val="auto"/>
                <w:sz w:val="24"/>
                <w:szCs w:val="24"/>
                <w:highlight w:val="none"/>
              </w:rPr>
            </w:pPr>
          </w:p>
        </w:tc>
        <w:tc>
          <w:tcPr>
            <w:tcW w:w="867"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color w:val="auto"/>
                <w:sz w:val="24"/>
                <w:szCs w:val="24"/>
                <w:highlight w:val="none"/>
              </w:rPr>
            </w:pPr>
          </w:p>
        </w:tc>
        <w:tc>
          <w:tcPr>
            <w:tcW w:w="79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color w:val="auto"/>
                <w:sz w:val="24"/>
                <w:szCs w:val="24"/>
                <w:highlight w:val="none"/>
              </w:rPr>
            </w:pPr>
          </w:p>
        </w:tc>
        <w:tc>
          <w:tcPr>
            <w:tcW w:w="571"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color w:val="auto"/>
                <w:sz w:val="24"/>
                <w:szCs w:val="24"/>
                <w:highlight w:val="none"/>
              </w:rPr>
            </w:pPr>
          </w:p>
        </w:tc>
        <w:tc>
          <w:tcPr>
            <w:tcW w:w="1102"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color w:val="auto"/>
                <w:sz w:val="24"/>
                <w:szCs w:val="24"/>
                <w:highlight w:val="none"/>
              </w:rPr>
            </w:pPr>
          </w:p>
        </w:tc>
        <w:tc>
          <w:tcPr>
            <w:tcW w:w="1097"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color w:val="auto"/>
                <w:sz w:val="24"/>
                <w:szCs w:val="24"/>
                <w:highlight w:val="none"/>
              </w:rPr>
            </w:pPr>
          </w:p>
        </w:tc>
      </w:tr>
      <w:tr>
        <w:tblPrEx>
          <w:tblCellMar>
            <w:top w:w="0" w:type="dxa"/>
            <w:left w:w="30" w:type="dxa"/>
            <w:bottom w:w="0" w:type="dxa"/>
            <w:right w:w="30" w:type="dxa"/>
          </w:tblCellMar>
        </w:tblPrEx>
        <w:trPr>
          <w:cantSplit/>
          <w:trHeight w:val="625" w:hRule="atLeast"/>
          <w:jc w:val="center"/>
        </w:trPr>
        <w:tc>
          <w:tcPr>
            <w:tcW w:w="573"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color w:val="auto"/>
                <w:sz w:val="24"/>
                <w:szCs w:val="24"/>
                <w:highlight w:val="none"/>
              </w:rPr>
            </w:pPr>
          </w:p>
        </w:tc>
        <w:tc>
          <w:tcPr>
            <w:tcW w:w="867"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color w:val="auto"/>
                <w:sz w:val="24"/>
                <w:szCs w:val="24"/>
                <w:highlight w:val="none"/>
              </w:rPr>
            </w:pPr>
          </w:p>
        </w:tc>
        <w:tc>
          <w:tcPr>
            <w:tcW w:w="79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color w:val="auto"/>
                <w:sz w:val="24"/>
                <w:szCs w:val="24"/>
                <w:highlight w:val="none"/>
              </w:rPr>
            </w:pPr>
          </w:p>
        </w:tc>
        <w:tc>
          <w:tcPr>
            <w:tcW w:w="571"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color w:val="auto"/>
                <w:sz w:val="24"/>
                <w:szCs w:val="24"/>
                <w:highlight w:val="none"/>
              </w:rPr>
            </w:pPr>
          </w:p>
        </w:tc>
        <w:tc>
          <w:tcPr>
            <w:tcW w:w="1102"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color w:val="auto"/>
                <w:sz w:val="24"/>
                <w:szCs w:val="24"/>
                <w:highlight w:val="none"/>
              </w:rPr>
            </w:pPr>
          </w:p>
        </w:tc>
        <w:tc>
          <w:tcPr>
            <w:tcW w:w="1097"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color w:val="auto"/>
                <w:sz w:val="24"/>
                <w:szCs w:val="24"/>
                <w:highlight w:val="none"/>
              </w:rPr>
            </w:pPr>
          </w:p>
        </w:tc>
      </w:tr>
      <w:tr>
        <w:tblPrEx>
          <w:tblCellMar>
            <w:top w:w="0" w:type="dxa"/>
            <w:left w:w="30" w:type="dxa"/>
            <w:bottom w:w="0" w:type="dxa"/>
            <w:right w:w="30" w:type="dxa"/>
          </w:tblCellMar>
        </w:tblPrEx>
        <w:trPr>
          <w:cantSplit/>
          <w:trHeight w:val="625" w:hRule="atLeast"/>
          <w:jc w:val="center"/>
        </w:trPr>
        <w:tc>
          <w:tcPr>
            <w:tcW w:w="573"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color w:val="auto"/>
                <w:sz w:val="24"/>
                <w:szCs w:val="24"/>
                <w:highlight w:val="none"/>
              </w:rPr>
            </w:pPr>
          </w:p>
        </w:tc>
        <w:tc>
          <w:tcPr>
            <w:tcW w:w="867"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color w:val="auto"/>
                <w:sz w:val="24"/>
                <w:szCs w:val="24"/>
                <w:highlight w:val="none"/>
              </w:rPr>
            </w:pPr>
          </w:p>
        </w:tc>
        <w:tc>
          <w:tcPr>
            <w:tcW w:w="79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color w:val="auto"/>
                <w:sz w:val="24"/>
                <w:szCs w:val="24"/>
                <w:highlight w:val="none"/>
              </w:rPr>
            </w:pPr>
          </w:p>
        </w:tc>
        <w:tc>
          <w:tcPr>
            <w:tcW w:w="571"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color w:val="auto"/>
                <w:sz w:val="24"/>
                <w:szCs w:val="24"/>
                <w:highlight w:val="none"/>
              </w:rPr>
            </w:pPr>
          </w:p>
        </w:tc>
        <w:tc>
          <w:tcPr>
            <w:tcW w:w="1102"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color w:val="auto"/>
                <w:sz w:val="24"/>
                <w:szCs w:val="24"/>
                <w:highlight w:val="none"/>
              </w:rPr>
            </w:pPr>
          </w:p>
        </w:tc>
        <w:tc>
          <w:tcPr>
            <w:tcW w:w="1097"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color w:val="auto"/>
                <w:sz w:val="24"/>
                <w:szCs w:val="24"/>
                <w:highlight w:val="none"/>
              </w:rPr>
            </w:pPr>
          </w:p>
        </w:tc>
      </w:tr>
    </w:tbl>
    <w:p>
      <w:pPr>
        <w:spacing w:line="360" w:lineRule="auto"/>
        <w:jc w:val="left"/>
        <w:rPr>
          <w:rFonts w:ascii="仿宋" w:hAnsi="仿宋" w:eastAsia="仿宋" w:cs="仿宋"/>
          <w:color w:val="auto"/>
          <w:sz w:val="24"/>
          <w:szCs w:val="24"/>
          <w:highlight w:val="none"/>
        </w:rPr>
      </w:pPr>
    </w:p>
    <w:p>
      <w:pPr>
        <w:spacing w:line="360" w:lineRule="auto"/>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推荐的质保期后5年所需的备件价格，不计入投标总价：</w:t>
      </w:r>
    </w:p>
    <w:tbl>
      <w:tblPr>
        <w:tblStyle w:val="37"/>
        <w:tblW w:w="5000" w:type="pct"/>
        <w:jc w:val="center"/>
        <w:tblLayout w:type="autofit"/>
        <w:tblCellMar>
          <w:top w:w="0" w:type="dxa"/>
          <w:left w:w="30" w:type="dxa"/>
          <w:bottom w:w="0" w:type="dxa"/>
          <w:right w:w="30" w:type="dxa"/>
        </w:tblCellMar>
      </w:tblPr>
      <w:tblGrid>
        <w:gridCol w:w="1023"/>
        <w:gridCol w:w="1548"/>
        <w:gridCol w:w="1410"/>
        <w:gridCol w:w="1019"/>
        <w:gridCol w:w="1968"/>
        <w:gridCol w:w="1959"/>
      </w:tblGrid>
      <w:tr>
        <w:tblPrEx>
          <w:tblCellMar>
            <w:top w:w="0" w:type="dxa"/>
            <w:left w:w="30" w:type="dxa"/>
            <w:bottom w:w="0" w:type="dxa"/>
            <w:right w:w="30" w:type="dxa"/>
          </w:tblCellMar>
        </w:tblPrEx>
        <w:trPr>
          <w:cantSplit/>
          <w:trHeight w:val="606" w:hRule="atLeast"/>
          <w:jc w:val="center"/>
        </w:trPr>
        <w:tc>
          <w:tcPr>
            <w:tcW w:w="573" w:type="pct"/>
            <w:tcBorders>
              <w:top w:val="single" w:color="auto" w:sz="6" w:space="0"/>
              <w:left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867" w:type="pct"/>
            <w:tcBorders>
              <w:top w:val="single" w:color="auto" w:sz="6" w:space="0"/>
              <w:left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名称</w:t>
            </w:r>
          </w:p>
        </w:tc>
        <w:tc>
          <w:tcPr>
            <w:tcW w:w="790" w:type="pct"/>
            <w:tcBorders>
              <w:top w:val="single" w:color="auto" w:sz="6" w:space="0"/>
              <w:left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型号</w:t>
            </w:r>
          </w:p>
        </w:tc>
        <w:tc>
          <w:tcPr>
            <w:tcW w:w="571" w:type="pct"/>
            <w:tcBorders>
              <w:top w:val="single" w:color="auto" w:sz="6" w:space="0"/>
              <w:left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数量</w:t>
            </w:r>
          </w:p>
        </w:tc>
        <w:tc>
          <w:tcPr>
            <w:tcW w:w="1102" w:type="pct"/>
            <w:tcBorders>
              <w:top w:val="single" w:color="auto" w:sz="6" w:space="0"/>
              <w:left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单价</w:t>
            </w:r>
          </w:p>
        </w:tc>
        <w:tc>
          <w:tcPr>
            <w:tcW w:w="1097" w:type="pct"/>
            <w:tcBorders>
              <w:top w:val="single" w:color="auto" w:sz="6" w:space="0"/>
              <w:left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r>
      <w:tr>
        <w:tblPrEx>
          <w:tblCellMar>
            <w:top w:w="0" w:type="dxa"/>
            <w:left w:w="30" w:type="dxa"/>
            <w:bottom w:w="0" w:type="dxa"/>
            <w:right w:w="30" w:type="dxa"/>
          </w:tblCellMar>
        </w:tblPrEx>
        <w:trPr>
          <w:cantSplit/>
          <w:trHeight w:val="625" w:hRule="atLeast"/>
          <w:jc w:val="center"/>
        </w:trPr>
        <w:tc>
          <w:tcPr>
            <w:tcW w:w="573"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color w:val="auto"/>
                <w:sz w:val="24"/>
                <w:szCs w:val="24"/>
                <w:highlight w:val="none"/>
              </w:rPr>
            </w:pPr>
          </w:p>
        </w:tc>
        <w:tc>
          <w:tcPr>
            <w:tcW w:w="867"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color w:val="auto"/>
                <w:sz w:val="24"/>
                <w:szCs w:val="24"/>
                <w:highlight w:val="none"/>
              </w:rPr>
            </w:pPr>
          </w:p>
        </w:tc>
        <w:tc>
          <w:tcPr>
            <w:tcW w:w="79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color w:val="auto"/>
                <w:sz w:val="24"/>
                <w:szCs w:val="24"/>
                <w:highlight w:val="none"/>
              </w:rPr>
            </w:pPr>
          </w:p>
        </w:tc>
        <w:tc>
          <w:tcPr>
            <w:tcW w:w="571"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color w:val="auto"/>
                <w:sz w:val="24"/>
                <w:szCs w:val="24"/>
                <w:highlight w:val="none"/>
              </w:rPr>
            </w:pPr>
          </w:p>
        </w:tc>
        <w:tc>
          <w:tcPr>
            <w:tcW w:w="1102"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color w:val="auto"/>
                <w:sz w:val="24"/>
                <w:szCs w:val="24"/>
                <w:highlight w:val="none"/>
              </w:rPr>
            </w:pPr>
          </w:p>
        </w:tc>
        <w:tc>
          <w:tcPr>
            <w:tcW w:w="1097"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color w:val="auto"/>
                <w:sz w:val="24"/>
                <w:szCs w:val="24"/>
                <w:highlight w:val="none"/>
              </w:rPr>
            </w:pPr>
          </w:p>
        </w:tc>
      </w:tr>
      <w:tr>
        <w:tblPrEx>
          <w:tblCellMar>
            <w:top w:w="0" w:type="dxa"/>
            <w:left w:w="30" w:type="dxa"/>
            <w:bottom w:w="0" w:type="dxa"/>
            <w:right w:w="30" w:type="dxa"/>
          </w:tblCellMar>
        </w:tblPrEx>
        <w:trPr>
          <w:cantSplit/>
          <w:trHeight w:val="625" w:hRule="atLeast"/>
          <w:jc w:val="center"/>
        </w:trPr>
        <w:tc>
          <w:tcPr>
            <w:tcW w:w="573"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color w:val="auto"/>
                <w:sz w:val="24"/>
                <w:szCs w:val="24"/>
                <w:highlight w:val="none"/>
              </w:rPr>
            </w:pPr>
          </w:p>
        </w:tc>
        <w:tc>
          <w:tcPr>
            <w:tcW w:w="867"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color w:val="auto"/>
                <w:sz w:val="24"/>
                <w:szCs w:val="24"/>
                <w:highlight w:val="none"/>
              </w:rPr>
            </w:pPr>
          </w:p>
        </w:tc>
        <w:tc>
          <w:tcPr>
            <w:tcW w:w="79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color w:val="auto"/>
                <w:sz w:val="24"/>
                <w:szCs w:val="24"/>
                <w:highlight w:val="none"/>
              </w:rPr>
            </w:pPr>
          </w:p>
        </w:tc>
        <w:tc>
          <w:tcPr>
            <w:tcW w:w="571"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color w:val="auto"/>
                <w:sz w:val="24"/>
                <w:szCs w:val="24"/>
                <w:highlight w:val="none"/>
              </w:rPr>
            </w:pPr>
          </w:p>
        </w:tc>
        <w:tc>
          <w:tcPr>
            <w:tcW w:w="1102"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color w:val="auto"/>
                <w:sz w:val="24"/>
                <w:szCs w:val="24"/>
                <w:highlight w:val="none"/>
              </w:rPr>
            </w:pPr>
          </w:p>
        </w:tc>
        <w:tc>
          <w:tcPr>
            <w:tcW w:w="1097"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color w:val="auto"/>
                <w:sz w:val="24"/>
                <w:szCs w:val="24"/>
                <w:highlight w:val="none"/>
              </w:rPr>
            </w:pPr>
          </w:p>
        </w:tc>
      </w:tr>
      <w:tr>
        <w:tblPrEx>
          <w:tblCellMar>
            <w:top w:w="0" w:type="dxa"/>
            <w:left w:w="30" w:type="dxa"/>
            <w:bottom w:w="0" w:type="dxa"/>
            <w:right w:w="30" w:type="dxa"/>
          </w:tblCellMar>
        </w:tblPrEx>
        <w:trPr>
          <w:cantSplit/>
          <w:trHeight w:val="625" w:hRule="atLeast"/>
          <w:jc w:val="center"/>
        </w:trPr>
        <w:tc>
          <w:tcPr>
            <w:tcW w:w="573"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color w:val="auto"/>
                <w:sz w:val="24"/>
                <w:szCs w:val="24"/>
                <w:highlight w:val="none"/>
              </w:rPr>
            </w:pPr>
          </w:p>
        </w:tc>
        <w:tc>
          <w:tcPr>
            <w:tcW w:w="867"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color w:val="auto"/>
                <w:sz w:val="24"/>
                <w:szCs w:val="24"/>
                <w:highlight w:val="none"/>
              </w:rPr>
            </w:pPr>
          </w:p>
        </w:tc>
        <w:tc>
          <w:tcPr>
            <w:tcW w:w="79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color w:val="auto"/>
                <w:sz w:val="24"/>
                <w:szCs w:val="24"/>
                <w:highlight w:val="none"/>
              </w:rPr>
            </w:pPr>
          </w:p>
        </w:tc>
        <w:tc>
          <w:tcPr>
            <w:tcW w:w="571"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color w:val="auto"/>
                <w:sz w:val="24"/>
                <w:szCs w:val="24"/>
                <w:highlight w:val="none"/>
              </w:rPr>
            </w:pPr>
          </w:p>
        </w:tc>
        <w:tc>
          <w:tcPr>
            <w:tcW w:w="1102"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color w:val="auto"/>
                <w:sz w:val="24"/>
                <w:szCs w:val="24"/>
                <w:highlight w:val="none"/>
              </w:rPr>
            </w:pPr>
          </w:p>
        </w:tc>
        <w:tc>
          <w:tcPr>
            <w:tcW w:w="1097"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color w:val="auto"/>
                <w:sz w:val="24"/>
                <w:szCs w:val="24"/>
                <w:highlight w:val="none"/>
              </w:rPr>
            </w:pPr>
          </w:p>
        </w:tc>
      </w:tr>
    </w:tbl>
    <w:p>
      <w:pPr>
        <w:spacing w:line="360" w:lineRule="auto"/>
        <w:jc w:val="left"/>
        <w:rPr>
          <w:rFonts w:ascii="仿宋" w:hAnsi="仿宋" w:eastAsia="仿宋" w:cs="仿宋"/>
          <w:color w:val="auto"/>
          <w:sz w:val="24"/>
          <w:szCs w:val="24"/>
          <w:highlight w:val="none"/>
        </w:rPr>
      </w:pPr>
    </w:p>
    <w:p>
      <w:pPr>
        <w:pStyle w:val="14"/>
        <w:spacing w:before="0" w:after="0" w:line="360" w:lineRule="auto"/>
        <w:ind w:right="378" w:rightChars="135"/>
        <w:jc w:val="left"/>
        <w:rPr>
          <w:rFonts w:ascii="仿宋" w:hAnsi="仿宋" w:eastAsia="仿宋" w:cs="仿宋"/>
          <w:color w:val="auto"/>
          <w:sz w:val="28"/>
          <w:szCs w:val="28"/>
          <w:highlight w:val="none"/>
        </w:rPr>
      </w:pPr>
      <w:bookmarkStart w:id="109" w:name="_Toc324067100"/>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t>专用工器具及测试仪器报价表</w:t>
      </w:r>
      <w:bookmarkEnd w:id="109"/>
      <w:r>
        <w:rPr>
          <w:rFonts w:hint="eastAsia" w:ascii="仿宋" w:hAnsi="仿宋" w:eastAsia="仿宋" w:cs="仿宋"/>
          <w:color w:val="auto"/>
          <w:sz w:val="28"/>
          <w:szCs w:val="28"/>
          <w:highlight w:val="none"/>
        </w:rPr>
        <w:t>（计入投标总价）</w:t>
      </w:r>
    </w:p>
    <w:tbl>
      <w:tblPr>
        <w:tblStyle w:val="37"/>
        <w:tblW w:w="5000" w:type="pct"/>
        <w:jc w:val="center"/>
        <w:tblLayout w:type="autofit"/>
        <w:tblCellMar>
          <w:top w:w="0" w:type="dxa"/>
          <w:left w:w="30" w:type="dxa"/>
          <w:bottom w:w="0" w:type="dxa"/>
          <w:right w:w="30" w:type="dxa"/>
        </w:tblCellMar>
      </w:tblPr>
      <w:tblGrid>
        <w:gridCol w:w="1023"/>
        <w:gridCol w:w="1548"/>
        <w:gridCol w:w="1410"/>
        <w:gridCol w:w="1019"/>
        <w:gridCol w:w="1968"/>
        <w:gridCol w:w="1959"/>
      </w:tblGrid>
      <w:tr>
        <w:tblPrEx>
          <w:tblCellMar>
            <w:top w:w="0" w:type="dxa"/>
            <w:left w:w="30" w:type="dxa"/>
            <w:bottom w:w="0" w:type="dxa"/>
            <w:right w:w="30" w:type="dxa"/>
          </w:tblCellMar>
        </w:tblPrEx>
        <w:trPr>
          <w:cantSplit/>
          <w:trHeight w:val="606" w:hRule="atLeast"/>
          <w:jc w:val="center"/>
        </w:trPr>
        <w:tc>
          <w:tcPr>
            <w:tcW w:w="573" w:type="pct"/>
            <w:tcBorders>
              <w:top w:val="single" w:color="auto" w:sz="6" w:space="0"/>
              <w:left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867" w:type="pct"/>
            <w:tcBorders>
              <w:top w:val="single" w:color="auto" w:sz="6" w:space="0"/>
              <w:left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名称</w:t>
            </w:r>
          </w:p>
        </w:tc>
        <w:tc>
          <w:tcPr>
            <w:tcW w:w="790" w:type="pct"/>
            <w:tcBorders>
              <w:top w:val="single" w:color="auto" w:sz="6" w:space="0"/>
              <w:left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型号</w:t>
            </w:r>
          </w:p>
        </w:tc>
        <w:tc>
          <w:tcPr>
            <w:tcW w:w="571" w:type="pct"/>
            <w:tcBorders>
              <w:top w:val="single" w:color="auto" w:sz="6" w:space="0"/>
              <w:left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数量</w:t>
            </w:r>
          </w:p>
        </w:tc>
        <w:tc>
          <w:tcPr>
            <w:tcW w:w="1102" w:type="pct"/>
            <w:tcBorders>
              <w:top w:val="single" w:color="auto" w:sz="6" w:space="0"/>
              <w:left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单价</w:t>
            </w:r>
          </w:p>
        </w:tc>
        <w:tc>
          <w:tcPr>
            <w:tcW w:w="1097" w:type="pct"/>
            <w:tcBorders>
              <w:top w:val="single" w:color="auto" w:sz="6" w:space="0"/>
              <w:left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r>
      <w:tr>
        <w:tblPrEx>
          <w:tblCellMar>
            <w:top w:w="0" w:type="dxa"/>
            <w:left w:w="30" w:type="dxa"/>
            <w:bottom w:w="0" w:type="dxa"/>
            <w:right w:w="30" w:type="dxa"/>
          </w:tblCellMar>
        </w:tblPrEx>
        <w:trPr>
          <w:cantSplit/>
          <w:trHeight w:val="625" w:hRule="atLeast"/>
          <w:jc w:val="center"/>
        </w:trPr>
        <w:tc>
          <w:tcPr>
            <w:tcW w:w="573"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color w:val="auto"/>
                <w:sz w:val="24"/>
                <w:szCs w:val="24"/>
                <w:highlight w:val="none"/>
              </w:rPr>
            </w:pPr>
          </w:p>
        </w:tc>
        <w:tc>
          <w:tcPr>
            <w:tcW w:w="867"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color w:val="auto"/>
                <w:sz w:val="24"/>
                <w:szCs w:val="24"/>
                <w:highlight w:val="none"/>
              </w:rPr>
            </w:pPr>
          </w:p>
        </w:tc>
        <w:tc>
          <w:tcPr>
            <w:tcW w:w="79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color w:val="auto"/>
                <w:sz w:val="24"/>
                <w:szCs w:val="24"/>
                <w:highlight w:val="none"/>
              </w:rPr>
            </w:pPr>
          </w:p>
        </w:tc>
        <w:tc>
          <w:tcPr>
            <w:tcW w:w="571"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color w:val="auto"/>
                <w:sz w:val="24"/>
                <w:szCs w:val="24"/>
                <w:highlight w:val="none"/>
              </w:rPr>
            </w:pPr>
          </w:p>
        </w:tc>
        <w:tc>
          <w:tcPr>
            <w:tcW w:w="1102"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color w:val="auto"/>
                <w:sz w:val="24"/>
                <w:szCs w:val="24"/>
                <w:highlight w:val="none"/>
              </w:rPr>
            </w:pPr>
          </w:p>
        </w:tc>
        <w:tc>
          <w:tcPr>
            <w:tcW w:w="1097"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color w:val="auto"/>
                <w:sz w:val="24"/>
                <w:szCs w:val="24"/>
                <w:highlight w:val="none"/>
              </w:rPr>
            </w:pPr>
          </w:p>
        </w:tc>
      </w:tr>
      <w:tr>
        <w:tblPrEx>
          <w:tblCellMar>
            <w:top w:w="0" w:type="dxa"/>
            <w:left w:w="30" w:type="dxa"/>
            <w:bottom w:w="0" w:type="dxa"/>
            <w:right w:w="30" w:type="dxa"/>
          </w:tblCellMar>
        </w:tblPrEx>
        <w:trPr>
          <w:cantSplit/>
          <w:trHeight w:val="625" w:hRule="atLeast"/>
          <w:jc w:val="center"/>
        </w:trPr>
        <w:tc>
          <w:tcPr>
            <w:tcW w:w="573"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color w:val="auto"/>
                <w:sz w:val="24"/>
                <w:szCs w:val="24"/>
                <w:highlight w:val="none"/>
              </w:rPr>
            </w:pPr>
          </w:p>
        </w:tc>
        <w:tc>
          <w:tcPr>
            <w:tcW w:w="867"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color w:val="auto"/>
                <w:sz w:val="24"/>
                <w:szCs w:val="24"/>
                <w:highlight w:val="none"/>
              </w:rPr>
            </w:pPr>
          </w:p>
        </w:tc>
        <w:tc>
          <w:tcPr>
            <w:tcW w:w="79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color w:val="auto"/>
                <w:sz w:val="24"/>
                <w:szCs w:val="24"/>
                <w:highlight w:val="none"/>
              </w:rPr>
            </w:pPr>
          </w:p>
        </w:tc>
        <w:tc>
          <w:tcPr>
            <w:tcW w:w="571"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color w:val="auto"/>
                <w:sz w:val="24"/>
                <w:szCs w:val="24"/>
                <w:highlight w:val="none"/>
              </w:rPr>
            </w:pPr>
          </w:p>
        </w:tc>
        <w:tc>
          <w:tcPr>
            <w:tcW w:w="1102"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color w:val="auto"/>
                <w:sz w:val="24"/>
                <w:szCs w:val="24"/>
                <w:highlight w:val="none"/>
              </w:rPr>
            </w:pPr>
          </w:p>
        </w:tc>
        <w:tc>
          <w:tcPr>
            <w:tcW w:w="1097"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color w:val="auto"/>
                <w:sz w:val="24"/>
                <w:szCs w:val="24"/>
                <w:highlight w:val="none"/>
              </w:rPr>
            </w:pPr>
          </w:p>
        </w:tc>
      </w:tr>
      <w:tr>
        <w:tblPrEx>
          <w:tblCellMar>
            <w:top w:w="0" w:type="dxa"/>
            <w:left w:w="30" w:type="dxa"/>
            <w:bottom w:w="0" w:type="dxa"/>
            <w:right w:w="30" w:type="dxa"/>
          </w:tblCellMar>
        </w:tblPrEx>
        <w:trPr>
          <w:cantSplit/>
          <w:trHeight w:val="625" w:hRule="atLeast"/>
          <w:jc w:val="center"/>
        </w:trPr>
        <w:tc>
          <w:tcPr>
            <w:tcW w:w="573"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color w:val="auto"/>
                <w:sz w:val="24"/>
                <w:szCs w:val="24"/>
                <w:highlight w:val="none"/>
              </w:rPr>
            </w:pPr>
          </w:p>
        </w:tc>
        <w:tc>
          <w:tcPr>
            <w:tcW w:w="867"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color w:val="auto"/>
                <w:sz w:val="24"/>
                <w:szCs w:val="24"/>
                <w:highlight w:val="none"/>
              </w:rPr>
            </w:pPr>
          </w:p>
        </w:tc>
        <w:tc>
          <w:tcPr>
            <w:tcW w:w="790"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color w:val="auto"/>
                <w:sz w:val="24"/>
                <w:szCs w:val="24"/>
                <w:highlight w:val="none"/>
              </w:rPr>
            </w:pPr>
          </w:p>
        </w:tc>
        <w:tc>
          <w:tcPr>
            <w:tcW w:w="571"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color w:val="auto"/>
                <w:sz w:val="24"/>
                <w:szCs w:val="24"/>
                <w:highlight w:val="none"/>
              </w:rPr>
            </w:pPr>
          </w:p>
        </w:tc>
        <w:tc>
          <w:tcPr>
            <w:tcW w:w="1102"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color w:val="auto"/>
                <w:sz w:val="24"/>
                <w:szCs w:val="24"/>
                <w:highlight w:val="none"/>
              </w:rPr>
            </w:pPr>
          </w:p>
        </w:tc>
        <w:tc>
          <w:tcPr>
            <w:tcW w:w="1097"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60" w:lineRule="auto"/>
              <w:jc w:val="left"/>
              <w:rPr>
                <w:rFonts w:ascii="仿宋" w:hAnsi="仿宋" w:eastAsia="仿宋" w:cs="仿宋"/>
                <w:color w:val="auto"/>
                <w:sz w:val="24"/>
                <w:szCs w:val="24"/>
                <w:highlight w:val="none"/>
              </w:rPr>
            </w:pPr>
          </w:p>
        </w:tc>
      </w:tr>
    </w:tbl>
    <w:p>
      <w:pPr>
        <w:spacing w:line="360" w:lineRule="auto"/>
        <w:ind w:hanging="1"/>
        <w:jc w:val="left"/>
        <w:rPr>
          <w:rFonts w:ascii="仿宋" w:hAnsi="仿宋" w:eastAsia="仿宋" w:cs="仿宋"/>
          <w:color w:val="auto"/>
          <w:sz w:val="24"/>
          <w:szCs w:val="24"/>
          <w:highlight w:val="none"/>
        </w:rPr>
      </w:pPr>
    </w:p>
    <w:p>
      <w:pPr>
        <w:widowControl/>
        <w:autoSpaceDE w:val="0"/>
        <w:autoSpaceDN w:val="0"/>
        <w:adjustRightInd w:val="0"/>
        <w:spacing w:line="440" w:lineRule="exact"/>
        <w:ind w:firstLine="3000" w:firstLineChars="1250"/>
        <w:jc w:val="left"/>
        <w:rPr>
          <w:rFonts w:ascii="仿宋" w:hAnsi="仿宋" w:eastAsia="仿宋" w:cs="仿宋"/>
          <w:color w:val="auto"/>
          <w:kern w:val="1"/>
          <w:sz w:val="24"/>
          <w:szCs w:val="24"/>
          <w:highlight w:val="none"/>
        </w:rPr>
      </w:pPr>
      <w:r>
        <w:rPr>
          <w:rFonts w:hint="eastAsia" w:ascii="仿宋" w:hAnsi="仿宋" w:eastAsia="仿宋" w:cs="仿宋"/>
          <w:color w:val="auto"/>
          <w:kern w:val="1"/>
          <w:sz w:val="24"/>
          <w:szCs w:val="24"/>
          <w:highlight w:val="none"/>
        </w:rPr>
        <w:t>投标人名称（公章）：</w:t>
      </w:r>
    </w:p>
    <w:p>
      <w:pPr>
        <w:spacing w:line="440" w:lineRule="exact"/>
        <w:ind w:firstLine="3000" w:firstLineChars="1250"/>
        <w:jc w:val="left"/>
        <w:rPr>
          <w:rFonts w:ascii="仿宋" w:hAnsi="仿宋" w:eastAsia="仿宋" w:cs="仿宋"/>
          <w:color w:val="auto"/>
          <w:kern w:val="1"/>
          <w:sz w:val="24"/>
          <w:szCs w:val="24"/>
          <w:highlight w:val="none"/>
        </w:rPr>
      </w:pPr>
      <w:r>
        <w:rPr>
          <w:rFonts w:hint="eastAsia" w:ascii="仿宋" w:hAnsi="仿宋" w:eastAsia="仿宋" w:cs="仿宋"/>
          <w:color w:val="auto"/>
          <w:kern w:val="1"/>
          <w:sz w:val="24"/>
          <w:szCs w:val="24"/>
          <w:highlight w:val="none"/>
        </w:rPr>
        <w:t>投标人法定代表人或者被授权代表（签字）：</w:t>
      </w:r>
    </w:p>
    <w:p>
      <w:pPr>
        <w:spacing w:line="440" w:lineRule="exact"/>
        <w:ind w:firstLine="3000" w:firstLineChars="1250"/>
        <w:jc w:val="left"/>
        <w:rPr>
          <w:rFonts w:ascii="仿宋" w:hAnsi="仿宋" w:eastAsia="仿宋" w:cs="仿宋"/>
          <w:color w:val="auto"/>
          <w:sz w:val="24"/>
          <w:szCs w:val="24"/>
          <w:highlight w:val="none"/>
        </w:rPr>
      </w:pPr>
      <w:r>
        <w:rPr>
          <w:rFonts w:hint="eastAsia" w:ascii="仿宋" w:hAnsi="仿宋" w:eastAsia="仿宋" w:cs="仿宋"/>
          <w:color w:val="auto"/>
          <w:kern w:val="1"/>
          <w:sz w:val="24"/>
          <w:szCs w:val="24"/>
          <w:highlight w:val="none"/>
        </w:rPr>
        <w:t>日期：</w:t>
      </w:r>
    </w:p>
    <w:p>
      <w:pPr>
        <w:jc w:val="left"/>
        <w:rPr>
          <w:rFonts w:ascii="仿宋" w:hAnsi="仿宋" w:eastAsia="仿宋" w:cs="仿宋"/>
          <w:color w:val="auto"/>
          <w:highlight w:val="none"/>
        </w:rPr>
      </w:pPr>
    </w:p>
    <w:p>
      <w:pPr>
        <w:jc w:val="left"/>
        <w:rPr>
          <w:rFonts w:ascii="仿宋" w:hAnsi="仿宋" w:eastAsia="仿宋" w:cs="仿宋"/>
          <w:color w:val="auto"/>
          <w:highlight w:val="none"/>
        </w:rPr>
      </w:pPr>
    </w:p>
    <w:bookmarkEnd w:id="106"/>
    <w:bookmarkEnd w:id="107"/>
    <w:bookmarkEnd w:id="108"/>
    <w:p>
      <w:pPr>
        <w:pStyle w:val="34"/>
        <w:spacing w:line="360" w:lineRule="auto"/>
        <w:outlineLvl w:val="1"/>
        <w:rPr>
          <w:rFonts w:ascii="仿宋" w:hAnsi="仿宋" w:eastAsia="仿宋" w:cs="仿宋"/>
          <w:b w:val="0"/>
          <w:color w:val="auto"/>
          <w:sz w:val="28"/>
          <w:szCs w:val="28"/>
          <w:highlight w:val="none"/>
        </w:rPr>
      </w:pPr>
      <w:bookmarkStart w:id="110" w:name="_Toc500862827"/>
      <w:bookmarkStart w:id="111" w:name="_Toc14315"/>
      <w:r>
        <w:rPr>
          <w:rFonts w:hint="eastAsia" w:ascii="仿宋" w:hAnsi="仿宋" w:eastAsia="仿宋" w:cs="仿宋"/>
          <w:b w:val="0"/>
          <w:color w:val="auto"/>
          <w:sz w:val="28"/>
          <w:szCs w:val="28"/>
          <w:highlight w:val="none"/>
        </w:rPr>
        <w:t>附件8：投标人资格声明书</w:t>
      </w:r>
      <w:bookmarkEnd w:id="110"/>
      <w:bookmarkEnd w:id="111"/>
    </w:p>
    <w:p>
      <w:pPr>
        <w:spacing w:line="480" w:lineRule="exact"/>
        <w:ind w:firstLine="3188" w:firstLineChars="1323"/>
        <w:jc w:val="left"/>
        <w:rPr>
          <w:rFonts w:ascii="仿宋" w:hAnsi="仿宋" w:eastAsia="仿宋" w:cs="仿宋"/>
          <w:b/>
          <w:color w:val="auto"/>
          <w:sz w:val="24"/>
          <w:szCs w:val="24"/>
          <w:highlight w:val="none"/>
        </w:rPr>
      </w:pPr>
      <w:bookmarkStart w:id="112" w:name="投标人资格声明书"/>
      <w:r>
        <w:rPr>
          <w:rFonts w:hint="eastAsia" w:ascii="仿宋" w:hAnsi="仿宋" w:eastAsia="仿宋" w:cs="仿宋"/>
          <w:b/>
          <w:color w:val="auto"/>
          <w:sz w:val="24"/>
          <w:szCs w:val="24"/>
          <w:highlight w:val="none"/>
        </w:rPr>
        <w:t>投标人资格声明书</w:t>
      </w:r>
    </w:p>
    <w:bookmarkEnd w:id="112"/>
    <w:p>
      <w:pPr>
        <w:spacing w:line="480" w:lineRule="exact"/>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致中国石油大学（华东）：</w:t>
      </w:r>
    </w:p>
    <w:p>
      <w:pPr>
        <w:spacing w:line="480" w:lineRule="exact"/>
        <w:ind w:firstLine="435"/>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为响应你方组织的“中国石油大学（华东）******【项目编号：SHSDZB2022-017】”的招标，我方愿意参与投标，并作出以下声明：</w:t>
      </w:r>
    </w:p>
    <w:p>
      <w:pPr>
        <w:spacing w:line="480" w:lineRule="exact"/>
        <w:ind w:firstLine="435"/>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我方作为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（投标人名称）提供“用户需求书”中的货物或服务，同时声明具备《中华人民共和国政府采购法》第二十二条规定的条件：</w:t>
      </w:r>
    </w:p>
    <w:p>
      <w:pPr>
        <w:spacing w:line="480" w:lineRule="exact"/>
        <w:ind w:firstLine="435"/>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（一）具有独立承担民事责任的能力；</w:t>
      </w:r>
    </w:p>
    <w:p>
      <w:pPr>
        <w:spacing w:line="480" w:lineRule="exact"/>
        <w:ind w:firstLine="435"/>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（二）具有良好的商业信誉和健全的财务会计制度；</w:t>
      </w:r>
    </w:p>
    <w:p>
      <w:pPr>
        <w:spacing w:line="480" w:lineRule="exact"/>
        <w:ind w:firstLine="435"/>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（三）具有履行合同所必需的设备和专业技术能力；</w:t>
      </w:r>
    </w:p>
    <w:p>
      <w:pPr>
        <w:spacing w:line="480" w:lineRule="exact"/>
        <w:ind w:firstLine="435"/>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（四）有依法缴纳税收和社会保障资金的良好记录；</w:t>
      </w:r>
    </w:p>
    <w:p>
      <w:pPr>
        <w:spacing w:line="480" w:lineRule="exact"/>
        <w:ind w:firstLine="435"/>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（五）参加政府采购活动前三年内，在经营活动中没有重大违法记录；</w:t>
      </w:r>
    </w:p>
    <w:p>
      <w:pPr>
        <w:spacing w:line="480" w:lineRule="exact"/>
        <w:ind w:firstLine="435"/>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（六）法律、行政法规规定的其他条件。</w:t>
      </w:r>
    </w:p>
    <w:p>
      <w:pPr>
        <w:spacing w:line="480" w:lineRule="exact"/>
        <w:ind w:firstLine="435"/>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我方保证提交的所有文件和全部说明是真实的和正确的，理解你方可能还要求提供更进一步的资格证明资料，并愿意应你方要求提交。投标人基本情况如下：</w:t>
      </w:r>
    </w:p>
    <w:p>
      <w:pPr>
        <w:spacing w:line="480" w:lineRule="exact"/>
        <w:ind w:firstLine="435"/>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（1）投标人名称：</w:t>
      </w:r>
      <w:r>
        <w:rPr>
          <w:rFonts w:hint="eastAsia" w:ascii="仿宋" w:hAnsi="仿宋" w:eastAsia="仿宋" w:cs="仿宋"/>
          <w:color w:val="auto"/>
          <w:sz w:val="24"/>
          <w:szCs w:val="24"/>
          <w:highlight w:val="none"/>
          <w:u w:val="single"/>
        </w:rPr>
        <w:t xml:space="preserve">                      </w:t>
      </w:r>
    </w:p>
    <w:p>
      <w:pPr>
        <w:spacing w:line="480" w:lineRule="exact"/>
        <w:ind w:firstLine="435"/>
        <w:jc w:val="left"/>
        <w:rPr>
          <w:rFonts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 xml:space="preserve">（2）注册地址：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   邮编： </w:t>
      </w:r>
      <w:r>
        <w:rPr>
          <w:rFonts w:hint="eastAsia" w:ascii="仿宋" w:hAnsi="仿宋" w:eastAsia="仿宋" w:cs="仿宋"/>
          <w:color w:val="auto"/>
          <w:sz w:val="24"/>
          <w:szCs w:val="24"/>
          <w:highlight w:val="none"/>
          <w:u w:val="single"/>
        </w:rPr>
        <w:t xml:space="preserve">                  </w:t>
      </w:r>
    </w:p>
    <w:p>
      <w:pPr>
        <w:spacing w:line="480" w:lineRule="exact"/>
        <w:ind w:firstLine="1096" w:firstLineChars="457"/>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电   话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    传   真：</w:t>
      </w:r>
      <w:r>
        <w:rPr>
          <w:rFonts w:hint="eastAsia" w:ascii="仿宋" w:hAnsi="仿宋" w:eastAsia="仿宋" w:cs="仿宋"/>
          <w:color w:val="auto"/>
          <w:sz w:val="24"/>
          <w:szCs w:val="24"/>
          <w:highlight w:val="none"/>
          <w:u w:val="single"/>
        </w:rPr>
        <w:t xml:space="preserve">              </w:t>
      </w:r>
    </w:p>
    <w:p>
      <w:pPr>
        <w:spacing w:line="480" w:lineRule="exact"/>
        <w:ind w:firstLine="435"/>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（3）成立或注册日期： </w:t>
      </w:r>
      <w:r>
        <w:rPr>
          <w:rFonts w:hint="eastAsia" w:ascii="仿宋" w:hAnsi="仿宋" w:eastAsia="仿宋" w:cs="仿宋"/>
          <w:color w:val="auto"/>
          <w:sz w:val="24"/>
          <w:szCs w:val="24"/>
          <w:highlight w:val="none"/>
          <w:u w:val="single"/>
        </w:rPr>
        <w:t xml:space="preserve">                       </w:t>
      </w:r>
    </w:p>
    <w:p>
      <w:pPr>
        <w:spacing w:line="480" w:lineRule="exact"/>
        <w:ind w:firstLine="435"/>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（4）公司性质：</w:t>
      </w:r>
      <w:r>
        <w:rPr>
          <w:rFonts w:hint="eastAsia" w:ascii="仿宋" w:hAnsi="仿宋" w:eastAsia="仿宋" w:cs="仿宋"/>
          <w:color w:val="auto"/>
          <w:sz w:val="24"/>
          <w:szCs w:val="24"/>
          <w:highlight w:val="none"/>
          <w:u w:val="single"/>
        </w:rPr>
        <w:t xml:space="preserve">                                 </w:t>
      </w:r>
    </w:p>
    <w:p>
      <w:pPr>
        <w:spacing w:line="480" w:lineRule="exact"/>
        <w:ind w:firstLine="435"/>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（5）法定代表人或主要负责人：</w:t>
      </w:r>
      <w:r>
        <w:rPr>
          <w:rFonts w:hint="eastAsia" w:ascii="仿宋" w:hAnsi="仿宋" w:eastAsia="仿宋" w:cs="仿宋"/>
          <w:color w:val="auto"/>
          <w:sz w:val="24"/>
          <w:szCs w:val="24"/>
          <w:highlight w:val="none"/>
          <w:u w:val="single"/>
        </w:rPr>
        <w:t xml:space="preserve">                   </w:t>
      </w:r>
    </w:p>
    <w:p>
      <w:pPr>
        <w:spacing w:line="480" w:lineRule="exact"/>
        <w:ind w:firstLine="435"/>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（6）职员人数：</w:t>
      </w:r>
      <w:r>
        <w:rPr>
          <w:rFonts w:hint="eastAsia" w:ascii="仿宋" w:hAnsi="仿宋" w:eastAsia="仿宋" w:cs="仿宋"/>
          <w:color w:val="auto"/>
          <w:sz w:val="24"/>
          <w:szCs w:val="24"/>
          <w:highlight w:val="none"/>
          <w:u w:val="single"/>
        </w:rPr>
        <w:t xml:space="preserve">                                 </w:t>
      </w:r>
    </w:p>
    <w:p>
      <w:pPr>
        <w:spacing w:line="480" w:lineRule="exact"/>
        <w:ind w:firstLine="435"/>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（7）注册资本： </w:t>
      </w:r>
      <w:r>
        <w:rPr>
          <w:rFonts w:hint="eastAsia" w:ascii="仿宋" w:hAnsi="仿宋" w:eastAsia="仿宋" w:cs="仿宋"/>
          <w:color w:val="auto"/>
          <w:sz w:val="24"/>
          <w:szCs w:val="24"/>
          <w:highlight w:val="none"/>
          <w:u w:val="single"/>
        </w:rPr>
        <w:t xml:space="preserve">                                </w:t>
      </w:r>
    </w:p>
    <w:p>
      <w:pPr>
        <w:spacing w:line="440" w:lineRule="exact"/>
        <w:ind w:firstLine="435"/>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p>
    <w:p>
      <w:pPr>
        <w:spacing w:line="440" w:lineRule="exact"/>
        <w:ind w:firstLine="435"/>
        <w:jc w:val="left"/>
        <w:rPr>
          <w:rFonts w:ascii="仿宋" w:hAnsi="仿宋" w:eastAsia="仿宋" w:cs="仿宋"/>
          <w:color w:val="auto"/>
          <w:sz w:val="24"/>
          <w:szCs w:val="24"/>
          <w:highlight w:val="none"/>
        </w:rPr>
      </w:pPr>
    </w:p>
    <w:p>
      <w:pPr>
        <w:spacing w:line="440" w:lineRule="exact"/>
        <w:ind w:firstLine="435"/>
        <w:jc w:val="left"/>
        <w:rPr>
          <w:rFonts w:ascii="仿宋" w:hAnsi="仿宋" w:eastAsia="仿宋" w:cs="仿宋"/>
          <w:color w:val="auto"/>
          <w:sz w:val="24"/>
          <w:szCs w:val="24"/>
          <w:highlight w:val="none"/>
        </w:rPr>
      </w:pPr>
    </w:p>
    <w:p>
      <w:pPr>
        <w:spacing w:line="440" w:lineRule="exact"/>
        <w:ind w:firstLine="2760" w:firstLineChars="1150"/>
        <w:jc w:val="left"/>
        <w:rPr>
          <w:rFonts w:ascii="仿宋" w:hAnsi="仿宋" w:eastAsia="仿宋" w:cs="仿宋"/>
          <w:color w:val="auto"/>
          <w:sz w:val="24"/>
          <w:szCs w:val="24"/>
          <w:highlight w:val="none"/>
        </w:rPr>
      </w:pPr>
      <w:r>
        <w:rPr>
          <w:rFonts w:hint="eastAsia" w:ascii="仿宋" w:hAnsi="仿宋" w:eastAsia="仿宋" w:cs="仿宋"/>
          <w:color w:val="auto"/>
          <w:kern w:val="1"/>
          <w:sz w:val="24"/>
          <w:szCs w:val="24"/>
          <w:highlight w:val="none"/>
        </w:rPr>
        <w:t>投标人名称（公章）：</w:t>
      </w:r>
    </w:p>
    <w:p>
      <w:pPr>
        <w:spacing w:line="440" w:lineRule="exact"/>
        <w:ind w:firstLine="435"/>
        <w:jc w:val="left"/>
        <w:rPr>
          <w:rFonts w:ascii="仿宋" w:hAnsi="仿宋" w:eastAsia="仿宋" w:cs="仿宋"/>
          <w:color w:val="auto"/>
          <w:sz w:val="21"/>
          <w:szCs w:val="24"/>
          <w:highlight w:val="none"/>
        </w:rPr>
      </w:pPr>
      <w:r>
        <w:rPr>
          <w:rFonts w:hint="eastAsia" w:ascii="仿宋" w:hAnsi="仿宋" w:eastAsia="仿宋" w:cs="仿宋"/>
          <w:color w:val="auto"/>
          <w:kern w:val="1"/>
          <w:sz w:val="24"/>
          <w:szCs w:val="24"/>
          <w:highlight w:val="none"/>
        </w:rPr>
        <w:t xml:space="preserve">        投标人法定代表人或者被授权代表（签字）：</w:t>
      </w: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1"/>
          <w:szCs w:val="24"/>
          <w:highlight w:val="none"/>
        </w:rPr>
        <w:t xml:space="preserve">      </w:t>
      </w:r>
    </w:p>
    <w:p>
      <w:pPr>
        <w:spacing w:line="440" w:lineRule="exact"/>
        <w:ind w:firstLine="2730" w:firstLineChars="1300"/>
        <w:jc w:val="left"/>
        <w:rPr>
          <w:rFonts w:ascii="仿宋" w:hAnsi="仿宋" w:eastAsia="仿宋" w:cs="仿宋"/>
          <w:b/>
          <w:bCs/>
          <w:color w:val="auto"/>
          <w:sz w:val="24"/>
          <w:szCs w:val="24"/>
          <w:highlight w:val="none"/>
        </w:rPr>
      </w:pPr>
      <w:r>
        <w:rPr>
          <w:rFonts w:hint="eastAsia" w:ascii="仿宋" w:hAnsi="仿宋" w:eastAsia="仿宋" w:cs="仿宋"/>
          <w:color w:val="auto"/>
          <w:sz w:val="21"/>
          <w:szCs w:val="24"/>
          <w:highlight w:val="none"/>
        </w:rPr>
        <w:t>日期：</w:t>
      </w:r>
    </w:p>
    <w:p>
      <w:pPr>
        <w:pStyle w:val="34"/>
        <w:spacing w:line="360" w:lineRule="auto"/>
        <w:outlineLvl w:val="1"/>
        <w:rPr>
          <w:rFonts w:ascii="仿宋" w:hAnsi="仿宋" w:eastAsia="仿宋" w:cs="仿宋"/>
          <w:b w:val="0"/>
          <w:color w:val="auto"/>
          <w:sz w:val="28"/>
          <w:szCs w:val="28"/>
          <w:highlight w:val="none"/>
        </w:rPr>
      </w:pPr>
      <w:bookmarkStart w:id="113" w:name="_Toc500862828"/>
      <w:bookmarkStart w:id="114" w:name="_Toc11240"/>
      <w:r>
        <w:rPr>
          <w:rFonts w:hint="eastAsia" w:ascii="仿宋" w:hAnsi="仿宋" w:eastAsia="仿宋" w:cs="仿宋"/>
          <w:b w:val="0"/>
          <w:color w:val="auto"/>
          <w:sz w:val="28"/>
          <w:szCs w:val="28"/>
          <w:highlight w:val="none"/>
        </w:rPr>
        <w:t>附件9：提供生产厂家授权承诺函</w:t>
      </w:r>
      <w:bookmarkEnd w:id="113"/>
      <w:bookmarkEnd w:id="114"/>
    </w:p>
    <w:p>
      <w:pPr>
        <w:spacing w:line="480" w:lineRule="exact"/>
        <w:jc w:val="center"/>
        <w:rPr>
          <w:rFonts w:ascii="仿宋" w:hAnsi="仿宋" w:eastAsia="仿宋" w:cs="仿宋"/>
          <w:b/>
          <w:color w:val="auto"/>
          <w:szCs w:val="24"/>
          <w:highlight w:val="none"/>
        </w:rPr>
      </w:pPr>
      <w:r>
        <w:rPr>
          <w:rFonts w:hint="eastAsia" w:ascii="仿宋" w:hAnsi="仿宋" w:eastAsia="仿宋" w:cs="仿宋"/>
          <w:b/>
          <w:color w:val="auto"/>
          <w:szCs w:val="24"/>
          <w:highlight w:val="none"/>
        </w:rPr>
        <w:t>关于中标后提供制造商授权函的承诺函</w:t>
      </w:r>
    </w:p>
    <w:p>
      <w:pPr>
        <w:rPr>
          <w:color w:val="auto"/>
          <w:highlight w:val="none"/>
        </w:rPr>
      </w:pPr>
    </w:p>
    <w:p>
      <w:pPr>
        <w:spacing w:line="480" w:lineRule="exact"/>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致：中国石油大学（华东）</w:t>
      </w:r>
    </w:p>
    <w:p>
      <w:pPr>
        <w:spacing w:line="480" w:lineRule="exact"/>
        <w:ind w:firstLine="48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我方作为所投标货物（国产）的代理商，完全明白并接受招标人关于提交制造商授权函和原厂售后服务承诺函的要求和规定，如我方为拟中标人，承诺签订合同时提交由所投货物的生产厂家有效签署的书面授权函，并提供原厂售后服务承诺函（如招标文件有要求），</w:t>
      </w:r>
      <w:r>
        <w:rPr>
          <w:rFonts w:hint="eastAsia" w:ascii="仿宋" w:hAnsi="仿宋" w:eastAsia="仿宋" w:cs="仿宋"/>
          <w:b/>
          <w:color w:val="auto"/>
          <w:kern w:val="0"/>
          <w:sz w:val="24"/>
          <w:szCs w:val="24"/>
          <w:highlight w:val="none"/>
        </w:rPr>
        <w:t>否则按照我方投标文件未真实响应招标文件实质性要求，认定我方虚假响应招标文件</w:t>
      </w:r>
      <w:r>
        <w:rPr>
          <w:rFonts w:hint="eastAsia" w:ascii="仿宋" w:hAnsi="仿宋" w:eastAsia="仿宋" w:cs="仿宋"/>
          <w:b/>
          <w:color w:val="auto"/>
          <w:sz w:val="24"/>
          <w:szCs w:val="24"/>
          <w:highlight w:val="none"/>
        </w:rPr>
        <w:t>。</w:t>
      </w:r>
      <w:r>
        <w:rPr>
          <w:rFonts w:hint="eastAsia" w:ascii="仿宋" w:hAnsi="仿宋" w:eastAsia="仿宋" w:cs="仿宋"/>
          <w:color w:val="auto"/>
          <w:sz w:val="24"/>
          <w:szCs w:val="24"/>
          <w:highlight w:val="none"/>
        </w:rPr>
        <w:t>同时接受中国石油大学（华东）将我方列入不良行为供应商名单。</w:t>
      </w:r>
    </w:p>
    <w:p>
      <w:pPr>
        <w:spacing w:line="480" w:lineRule="exact"/>
        <w:ind w:firstLine="48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如你方可能还要求进一步提供生产厂家有关本项目的其他承诺、证明、背书等书面文本，我方愿意应你方要求积极配合并提交。</w:t>
      </w:r>
    </w:p>
    <w:p>
      <w:pPr>
        <w:spacing w:line="480" w:lineRule="exact"/>
        <w:ind w:firstLine="480"/>
        <w:jc w:val="left"/>
        <w:rPr>
          <w:rFonts w:ascii="仿宋" w:hAnsi="仿宋" w:eastAsia="仿宋" w:cs="仿宋"/>
          <w:color w:val="auto"/>
          <w:sz w:val="24"/>
          <w:szCs w:val="24"/>
          <w:highlight w:val="none"/>
        </w:rPr>
      </w:pPr>
    </w:p>
    <w:p>
      <w:pPr>
        <w:spacing w:line="500" w:lineRule="exact"/>
        <w:ind w:firstLine="480" w:firstLineChars="200"/>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特此承诺！</w:t>
      </w:r>
    </w:p>
    <w:p>
      <w:pPr>
        <w:spacing w:line="500" w:lineRule="exact"/>
        <w:ind w:firstLine="420" w:firstLineChars="200"/>
        <w:jc w:val="left"/>
        <w:rPr>
          <w:rFonts w:ascii="仿宋" w:hAnsi="仿宋" w:eastAsia="仿宋" w:cs="仿宋"/>
          <w:color w:val="auto"/>
          <w:sz w:val="21"/>
          <w:szCs w:val="24"/>
          <w:highlight w:val="none"/>
        </w:rPr>
      </w:pPr>
    </w:p>
    <w:p>
      <w:pPr>
        <w:widowControl/>
        <w:autoSpaceDE w:val="0"/>
        <w:autoSpaceDN w:val="0"/>
        <w:adjustRightInd w:val="0"/>
        <w:spacing w:line="440" w:lineRule="exact"/>
        <w:ind w:right="-481" w:firstLine="2880" w:firstLineChars="1200"/>
        <w:jc w:val="left"/>
        <w:rPr>
          <w:rFonts w:ascii="仿宋" w:hAnsi="仿宋" w:eastAsia="仿宋" w:cs="仿宋"/>
          <w:color w:val="auto"/>
          <w:kern w:val="1"/>
          <w:sz w:val="24"/>
          <w:szCs w:val="24"/>
          <w:highlight w:val="none"/>
        </w:rPr>
      </w:pPr>
      <w:r>
        <w:rPr>
          <w:rFonts w:hint="eastAsia" w:ascii="仿宋" w:hAnsi="仿宋" w:eastAsia="仿宋" w:cs="仿宋"/>
          <w:color w:val="auto"/>
          <w:kern w:val="1"/>
          <w:sz w:val="24"/>
          <w:szCs w:val="24"/>
          <w:highlight w:val="none"/>
        </w:rPr>
        <w:t>投标人名称（公章）：</w:t>
      </w:r>
    </w:p>
    <w:p>
      <w:pPr>
        <w:widowControl/>
        <w:autoSpaceDE w:val="0"/>
        <w:autoSpaceDN w:val="0"/>
        <w:adjustRightInd w:val="0"/>
        <w:spacing w:line="440" w:lineRule="exact"/>
        <w:ind w:right="-481" w:firstLine="2880" w:firstLineChars="1200"/>
        <w:jc w:val="left"/>
        <w:rPr>
          <w:rFonts w:ascii="仿宋" w:hAnsi="仿宋" w:eastAsia="仿宋" w:cs="仿宋"/>
          <w:color w:val="auto"/>
          <w:kern w:val="1"/>
          <w:sz w:val="24"/>
          <w:szCs w:val="24"/>
          <w:highlight w:val="none"/>
        </w:rPr>
      </w:pPr>
      <w:r>
        <w:rPr>
          <w:rFonts w:hint="eastAsia" w:ascii="仿宋" w:hAnsi="仿宋" w:eastAsia="仿宋" w:cs="仿宋"/>
          <w:color w:val="auto"/>
          <w:kern w:val="1"/>
          <w:sz w:val="24"/>
          <w:szCs w:val="24"/>
          <w:highlight w:val="none"/>
        </w:rPr>
        <w:t xml:space="preserve">投标人法定代表人或者被授权代表（签字）： </w:t>
      </w:r>
    </w:p>
    <w:p>
      <w:pPr>
        <w:widowControl/>
        <w:autoSpaceDE w:val="0"/>
        <w:autoSpaceDN w:val="0"/>
        <w:adjustRightInd w:val="0"/>
        <w:spacing w:line="440" w:lineRule="exact"/>
        <w:ind w:right="-481" w:firstLine="2880" w:firstLineChars="1200"/>
        <w:jc w:val="left"/>
        <w:rPr>
          <w:rFonts w:ascii="仿宋" w:hAnsi="仿宋" w:eastAsia="仿宋" w:cs="仿宋"/>
          <w:color w:val="auto"/>
          <w:highlight w:val="none"/>
        </w:rPr>
      </w:pPr>
      <w:r>
        <w:rPr>
          <w:rFonts w:hint="eastAsia" w:ascii="仿宋" w:hAnsi="仿宋" w:eastAsia="仿宋" w:cs="仿宋"/>
          <w:color w:val="auto"/>
          <w:kern w:val="1"/>
          <w:sz w:val="24"/>
          <w:szCs w:val="24"/>
          <w:highlight w:val="none"/>
        </w:rPr>
        <w:t>日期：</w:t>
      </w:r>
    </w:p>
    <w:p>
      <w:pPr>
        <w:pStyle w:val="34"/>
        <w:spacing w:line="360" w:lineRule="auto"/>
        <w:outlineLvl w:val="1"/>
        <w:rPr>
          <w:rFonts w:ascii="仿宋" w:hAnsi="仿宋" w:eastAsia="仿宋" w:cs="仿宋"/>
          <w:b w:val="0"/>
          <w:color w:val="auto"/>
          <w:sz w:val="28"/>
          <w:szCs w:val="28"/>
          <w:highlight w:val="none"/>
        </w:rPr>
      </w:pPr>
      <w:r>
        <w:rPr>
          <w:rFonts w:hint="eastAsia" w:ascii="仿宋" w:hAnsi="仿宋" w:eastAsia="仿宋" w:cs="仿宋"/>
          <w:b w:val="0"/>
          <w:color w:val="auto"/>
          <w:sz w:val="28"/>
          <w:szCs w:val="28"/>
          <w:highlight w:val="none"/>
        </w:rPr>
        <w:br w:type="page"/>
      </w:r>
      <w:bookmarkStart w:id="115" w:name="_Toc8358"/>
      <w:bookmarkStart w:id="116" w:name="_Toc500862829"/>
      <w:r>
        <w:rPr>
          <w:rFonts w:hint="eastAsia" w:ascii="仿宋" w:hAnsi="仿宋" w:eastAsia="仿宋" w:cs="仿宋"/>
          <w:b w:val="0"/>
          <w:color w:val="auto"/>
          <w:sz w:val="28"/>
          <w:szCs w:val="28"/>
          <w:highlight w:val="none"/>
        </w:rPr>
        <w:t>附件10：技术响应/偏离表</w:t>
      </w:r>
      <w:bookmarkEnd w:id="115"/>
      <w:bookmarkEnd w:id="116"/>
    </w:p>
    <w:p>
      <w:pPr>
        <w:spacing w:before="120" w:beforeLines="50" w:after="120" w:afterLines="50" w:line="480" w:lineRule="exact"/>
        <w:jc w:val="cente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技术响应/偏离表</w:t>
      </w:r>
    </w:p>
    <w:tbl>
      <w:tblPr>
        <w:tblStyle w:val="37"/>
        <w:tblW w:w="91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1"/>
        <w:gridCol w:w="1868"/>
        <w:gridCol w:w="5479"/>
        <w:gridCol w:w="1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trPr>
        <w:tc>
          <w:tcPr>
            <w:tcW w:w="0" w:type="auto"/>
            <w:tcMar>
              <w:top w:w="100" w:type="dxa"/>
              <w:right w:w="100" w:type="dxa"/>
            </w:tcMar>
            <w:vAlign w:val="center"/>
          </w:tcPr>
          <w:p>
            <w:pPr>
              <w:widowControl/>
              <w:autoSpaceDE w:val="0"/>
              <w:autoSpaceDN w:val="0"/>
              <w:adjustRightInd w:val="0"/>
              <w:spacing w:line="440" w:lineRule="exact"/>
              <w:jc w:val="left"/>
              <w:rPr>
                <w:rFonts w:ascii="仿宋" w:hAnsi="仿宋" w:eastAsia="仿宋" w:cs="仿宋"/>
                <w:color w:val="auto"/>
                <w:kern w:val="1"/>
                <w:sz w:val="24"/>
                <w:szCs w:val="24"/>
                <w:highlight w:val="none"/>
              </w:rPr>
            </w:pPr>
            <w:r>
              <w:rPr>
                <w:rFonts w:hint="eastAsia" w:ascii="仿宋" w:hAnsi="仿宋" w:eastAsia="仿宋" w:cs="仿宋"/>
                <w:color w:val="auto"/>
                <w:kern w:val="1"/>
                <w:sz w:val="24"/>
                <w:szCs w:val="24"/>
                <w:highlight w:val="none"/>
              </w:rPr>
              <w:t>序号</w:t>
            </w:r>
          </w:p>
        </w:tc>
        <w:tc>
          <w:tcPr>
            <w:tcW w:w="1868" w:type="dxa"/>
            <w:tcMar>
              <w:top w:w="100" w:type="dxa"/>
              <w:right w:w="100" w:type="dxa"/>
            </w:tcMar>
            <w:vAlign w:val="center"/>
          </w:tcPr>
          <w:p>
            <w:pPr>
              <w:widowControl/>
              <w:autoSpaceDE w:val="0"/>
              <w:autoSpaceDN w:val="0"/>
              <w:adjustRightInd w:val="0"/>
              <w:spacing w:line="440" w:lineRule="exact"/>
              <w:jc w:val="left"/>
              <w:rPr>
                <w:rFonts w:ascii="仿宋" w:hAnsi="仿宋" w:eastAsia="仿宋" w:cs="仿宋"/>
                <w:color w:val="auto"/>
                <w:kern w:val="1"/>
                <w:sz w:val="24"/>
                <w:szCs w:val="24"/>
                <w:highlight w:val="none"/>
              </w:rPr>
            </w:pPr>
            <w:r>
              <w:rPr>
                <w:rFonts w:hint="eastAsia" w:ascii="仿宋" w:hAnsi="仿宋" w:eastAsia="仿宋" w:cs="仿宋"/>
                <w:color w:val="auto"/>
                <w:kern w:val="1"/>
                <w:sz w:val="24"/>
                <w:szCs w:val="24"/>
                <w:highlight w:val="none"/>
              </w:rPr>
              <w:t>招标文件要求</w:t>
            </w:r>
          </w:p>
          <w:p>
            <w:pPr>
              <w:widowControl/>
              <w:autoSpaceDE w:val="0"/>
              <w:autoSpaceDN w:val="0"/>
              <w:adjustRightInd w:val="0"/>
              <w:spacing w:line="440" w:lineRule="exact"/>
              <w:jc w:val="left"/>
              <w:rPr>
                <w:rFonts w:ascii="仿宋" w:hAnsi="仿宋" w:eastAsia="仿宋" w:cs="仿宋"/>
                <w:color w:val="auto"/>
                <w:kern w:val="1"/>
                <w:sz w:val="24"/>
                <w:szCs w:val="24"/>
                <w:highlight w:val="none"/>
              </w:rPr>
            </w:pPr>
            <w:r>
              <w:rPr>
                <w:rFonts w:hint="eastAsia" w:ascii="仿宋" w:hAnsi="仿宋" w:eastAsia="仿宋" w:cs="仿宋"/>
                <w:color w:val="auto"/>
                <w:kern w:val="1"/>
                <w:sz w:val="24"/>
                <w:szCs w:val="24"/>
                <w:highlight w:val="none"/>
              </w:rPr>
              <w:t>（详见“用户需求书”）</w:t>
            </w:r>
          </w:p>
        </w:tc>
        <w:tc>
          <w:tcPr>
            <w:tcW w:w="5479" w:type="dxa"/>
            <w:tcMar>
              <w:top w:w="100" w:type="dxa"/>
              <w:right w:w="100" w:type="dxa"/>
            </w:tcMar>
            <w:vAlign w:val="center"/>
          </w:tcPr>
          <w:p>
            <w:pPr>
              <w:widowControl/>
              <w:autoSpaceDE w:val="0"/>
              <w:autoSpaceDN w:val="0"/>
              <w:adjustRightInd w:val="0"/>
              <w:spacing w:line="440" w:lineRule="exact"/>
              <w:jc w:val="left"/>
              <w:rPr>
                <w:rFonts w:ascii="仿宋" w:hAnsi="仿宋" w:eastAsia="仿宋" w:cs="仿宋"/>
                <w:color w:val="auto"/>
                <w:kern w:val="1"/>
                <w:sz w:val="24"/>
                <w:szCs w:val="24"/>
                <w:highlight w:val="none"/>
              </w:rPr>
            </w:pPr>
            <w:r>
              <w:rPr>
                <w:rFonts w:hint="eastAsia" w:ascii="仿宋" w:hAnsi="仿宋" w:eastAsia="仿宋" w:cs="仿宋"/>
                <w:color w:val="auto"/>
                <w:kern w:val="1"/>
                <w:sz w:val="24"/>
                <w:szCs w:val="24"/>
                <w:highlight w:val="none"/>
              </w:rPr>
              <w:t>投标文件响应</w:t>
            </w:r>
          </w:p>
          <w:p>
            <w:pPr>
              <w:widowControl/>
              <w:autoSpaceDE w:val="0"/>
              <w:autoSpaceDN w:val="0"/>
              <w:adjustRightInd w:val="0"/>
              <w:spacing w:line="440" w:lineRule="exact"/>
              <w:jc w:val="left"/>
              <w:rPr>
                <w:rFonts w:ascii="仿宋" w:hAnsi="仿宋" w:eastAsia="仿宋" w:cs="仿宋"/>
                <w:color w:val="auto"/>
                <w:kern w:val="1"/>
                <w:sz w:val="24"/>
                <w:szCs w:val="24"/>
                <w:highlight w:val="none"/>
              </w:rPr>
            </w:pPr>
            <w:r>
              <w:rPr>
                <w:rFonts w:hint="eastAsia" w:ascii="仿宋" w:hAnsi="仿宋" w:eastAsia="仿宋" w:cs="仿宋"/>
                <w:color w:val="auto"/>
                <w:kern w:val="1"/>
                <w:sz w:val="24"/>
                <w:szCs w:val="24"/>
                <w:highlight w:val="none"/>
              </w:rPr>
              <w:t>（逐项明确应答）</w:t>
            </w:r>
          </w:p>
        </w:tc>
        <w:tc>
          <w:tcPr>
            <w:tcW w:w="1333" w:type="dxa"/>
            <w:tcMar>
              <w:top w:w="100" w:type="dxa"/>
              <w:right w:w="100" w:type="dxa"/>
            </w:tcMar>
            <w:vAlign w:val="center"/>
          </w:tcPr>
          <w:p>
            <w:pPr>
              <w:widowControl/>
              <w:autoSpaceDE w:val="0"/>
              <w:autoSpaceDN w:val="0"/>
              <w:adjustRightInd w:val="0"/>
              <w:spacing w:line="440" w:lineRule="exact"/>
              <w:jc w:val="left"/>
              <w:rPr>
                <w:rFonts w:ascii="仿宋" w:hAnsi="仿宋" w:eastAsia="仿宋" w:cs="仿宋"/>
                <w:color w:val="auto"/>
                <w:kern w:val="1"/>
                <w:sz w:val="24"/>
                <w:szCs w:val="24"/>
                <w:highlight w:val="none"/>
              </w:rPr>
            </w:pPr>
            <w:r>
              <w:rPr>
                <w:rFonts w:hint="eastAsia" w:ascii="仿宋" w:hAnsi="仿宋" w:eastAsia="仿宋" w:cs="仿宋"/>
                <w:color w:val="auto"/>
                <w:kern w:val="1"/>
                <w:sz w:val="24"/>
                <w:szCs w:val="24"/>
                <w:highlight w:val="none"/>
              </w:rPr>
              <w:t>偏离情况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trPr>
        <w:tc>
          <w:tcPr>
            <w:tcW w:w="0" w:type="auto"/>
            <w:tcMar>
              <w:top w:w="100" w:type="dxa"/>
              <w:right w:w="100" w:type="dxa"/>
            </w:tcMar>
            <w:vAlign w:val="center"/>
          </w:tcPr>
          <w:p>
            <w:pPr>
              <w:widowControl/>
              <w:autoSpaceDE w:val="0"/>
              <w:autoSpaceDN w:val="0"/>
              <w:adjustRightInd w:val="0"/>
              <w:spacing w:before="120" w:after="120" w:line="440" w:lineRule="exact"/>
              <w:jc w:val="left"/>
              <w:rPr>
                <w:rFonts w:ascii="仿宋" w:hAnsi="仿宋" w:eastAsia="仿宋" w:cs="仿宋"/>
                <w:color w:val="auto"/>
                <w:kern w:val="1"/>
                <w:sz w:val="24"/>
                <w:szCs w:val="24"/>
                <w:highlight w:val="none"/>
              </w:rPr>
            </w:pPr>
            <w:r>
              <w:rPr>
                <w:rFonts w:hint="eastAsia" w:ascii="仿宋" w:hAnsi="仿宋" w:eastAsia="仿宋" w:cs="仿宋"/>
                <w:color w:val="auto"/>
                <w:kern w:val="1"/>
                <w:sz w:val="24"/>
                <w:szCs w:val="24"/>
                <w:highlight w:val="none"/>
              </w:rPr>
              <w:t>1</w:t>
            </w:r>
          </w:p>
        </w:tc>
        <w:tc>
          <w:tcPr>
            <w:tcW w:w="1868" w:type="dxa"/>
            <w:tcMar>
              <w:top w:w="100" w:type="dxa"/>
              <w:right w:w="100" w:type="dxa"/>
            </w:tcMar>
            <w:vAlign w:val="center"/>
          </w:tcPr>
          <w:p>
            <w:pPr>
              <w:widowControl/>
              <w:autoSpaceDE w:val="0"/>
              <w:autoSpaceDN w:val="0"/>
              <w:adjustRightInd w:val="0"/>
              <w:spacing w:line="240" w:lineRule="exact"/>
              <w:jc w:val="left"/>
              <w:rPr>
                <w:rFonts w:ascii="仿宋" w:hAnsi="仿宋" w:eastAsia="仿宋" w:cs="仿宋"/>
                <w:color w:val="auto"/>
                <w:kern w:val="1"/>
                <w:sz w:val="24"/>
                <w:szCs w:val="24"/>
                <w:highlight w:val="none"/>
              </w:rPr>
            </w:pPr>
          </w:p>
        </w:tc>
        <w:tc>
          <w:tcPr>
            <w:tcW w:w="5479" w:type="dxa"/>
            <w:tcMar>
              <w:top w:w="100" w:type="dxa"/>
              <w:right w:w="100" w:type="dxa"/>
            </w:tcMar>
          </w:tcPr>
          <w:p>
            <w:pPr>
              <w:widowControl/>
              <w:autoSpaceDE w:val="0"/>
              <w:autoSpaceDN w:val="0"/>
              <w:adjustRightInd w:val="0"/>
              <w:spacing w:line="240" w:lineRule="exact"/>
              <w:jc w:val="left"/>
              <w:rPr>
                <w:rFonts w:ascii="仿宋" w:hAnsi="仿宋" w:eastAsia="仿宋" w:cs="仿宋"/>
                <w:color w:val="auto"/>
                <w:kern w:val="1"/>
                <w:sz w:val="24"/>
                <w:szCs w:val="24"/>
                <w:highlight w:val="none"/>
              </w:rPr>
            </w:pPr>
            <w:r>
              <w:rPr>
                <w:rFonts w:hint="eastAsia" w:ascii="仿宋" w:hAnsi="仿宋" w:eastAsia="仿宋" w:cs="仿宋"/>
                <w:color w:val="auto"/>
                <w:sz w:val="21"/>
                <w:szCs w:val="24"/>
                <w:highlight w:val="none"/>
              </w:rPr>
              <w:t>（应答提示：投标人填写时请勿简单复制招标文件技术规格，重要技术参数应当提供证明材料，如技术指标为具体数值的，不得模糊描述，否则视为未响应。）</w:t>
            </w:r>
          </w:p>
        </w:tc>
        <w:tc>
          <w:tcPr>
            <w:tcW w:w="1333" w:type="dxa"/>
            <w:tcMar>
              <w:top w:w="100" w:type="dxa"/>
              <w:right w:w="100" w:type="dxa"/>
            </w:tcMar>
          </w:tcPr>
          <w:p>
            <w:pPr>
              <w:widowControl/>
              <w:autoSpaceDE w:val="0"/>
              <w:autoSpaceDN w:val="0"/>
              <w:adjustRightInd w:val="0"/>
              <w:spacing w:line="240" w:lineRule="exact"/>
              <w:jc w:val="left"/>
              <w:rPr>
                <w:rFonts w:ascii="仿宋" w:hAnsi="仿宋" w:eastAsia="仿宋" w:cs="仿宋"/>
                <w:color w:val="auto"/>
                <w:kern w:val="1"/>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0" w:type="auto"/>
            <w:tcMar>
              <w:top w:w="100" w:type="dxa"/>
              <w:right w:w="100" w:type="dxa"/>
            </w:tcMar>
            <w:vAlign w:val="center"/>
          </w:tcPr>
          <w:p>
            <w:pPr>
              <w:widowControl/>
              <w:autoSpaceDE w:val="0"/>
              <w:autoSpaceDN w:val="0"/>
              <w:adjustRightInd w:val="0"/>
              <w:spacing w:before="120" w:after="120" w:line="440" w:lineRule="exact"/>
              <w:jc w:val="left"/>
              <w:rPr>
                <w:rFonts w:ascii="仿宋" w:hAnsi="仿宋" w:eastAsia="仿宋" w:cs="仿宋"/>
                <w:color w:val="auto"/>
                <w:kern w:val="1"/>
                <w:sz w:val="24"/>
                <w:szCs w:val="24"/>
                <w:highlight w:val="none"/>
              </w:rPr>
            </w:pPr>
            <w:r>
              <w:rPr>
                <w:rFonts w:hint="eastAsia" w:ascii="仿宋" w:hAnsi="仿宋" w:eastAsia="仿宋" w:cs="仿宋"/>
                <w:color w:val="auto"/>
                <w:kern w:val="1"/>
                <w:sz w:val="24"/>
                <w:szCs w:val="24"/>
                <w:highlight w:val="none"/>
              </w:rPr>
              <w:t>2</w:t>
            </w:r>
          </w:p>
        </w:tc>
        <w:tc>
          <w:tcPr>
            <w:tcW w:w="1868" w:type="dxa"/>
            <w:tcMar>
              <w:top w:w="100" w:type="dxa"/>
              <w:right w:w="100" w:type="dxa"/>
            </w:tcMar>
            <w:vAlign w:val="center"/>
          </w:tcPr>
          <w:p>
            <w:pPr>
              <w:widowControl/>
              <w:autoSpaceDE w:val="0"/>
              <w:autoSpaceDN w:val="0"/>
              <w:adjustRightInd w:val="0"/>
              <w:spacing w:line="240" w:lineRule="exact"/>
              <w:jc w:val="left"/>
              <w:rPr>
                <w:rFonts w:ascii="仿宋" w:hAnsi="仿宋" w:eastAsia="仿宋" w:cs="仿宋"/>
                <w:color w:val="auto"/>
                <w:kern w:val="1"/>
                <w:sz w:val="24"/>
                <w:szCs w:val="24"/>
                <w:highlight w:val="none"/>
              </w:rPr>
            </w:pPr>
          </w:p>
        </w:tc>
        <w:tc>
          <w:tcPr>
            <w:tcW w:w="5479" w:type="dxa"/>
            <w:tcMar>
              <w:top w:w="100" w:type="dxa"/>
              <w:right w:w="100" w:type="dxa"/>
            </w:tcMar>
          </w:tcPr>
          <w:p>
            <w:pPr>
              <w:widowControl/>
              <w:autoSpaceDE w:val="0"/>
              <w:autoSpaceDN w:val="0"/>
              <w:adjustRightInd w:val="0"/>
              <w:spacing w:line="240" w:lineRule="exact"/>
              <w:jc w:val="left"/>
              <w:rPr>
                <w:rFonts w:ascii="仿宋" w:hAnsi="仿宋" w:eastAsia="仿宋" w:cs="仿宋"/>
                <w:color w:val="auto"/>
                <w:kern w:val="1"/>
                <w:sz w:val="24"/>
                <w:szCs w:val="24"/>
                <w:highlight w:val="none"/>
              </w:rPr>
            </w:pPr>
          </w:p>
        </w:tc>
        <w:tc>
          <w:tcPr>
            <w:tcW w:w="1333" w:type="dxa"/>
            <w:tcMar>
              <w:top w:w="100" w:type="dxa"/>
              <w:right w:w="100" w:type="dxa"/>
            </w:tcMar>
          </w:tcPr>
          <w:p>
            <w:pPr>
              <w:widowControl/>
              <w:autoSpaceDE w:val="0"/>
              <w:autoSpaceDN w:val="0"/>
              <w:adjustRightInd w:val="0"/>
              <w:spacing w:line="240" w:lineRule="exact"/>
              <w:jc w:val="left"/>
              <w:rPr>
                <w:rFonts w:ascii="仿宋" w:hAnsi="仿宋" w:eastAsia="仿宋" w:cs="仿宋"/>
                <w:color w:val="auto"/>
                <w:kern w:val="1"/>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0" w:type="auto"/>
            <w:tcMar>
              <w:top w:w="100" w:type="dxa"/>
              <w:right w:w="100" w:type="dxa"/>
            </w:tcMar>
            <w:vAlign w:val="center"/>
          </w:tcPr>
          <w:p>
            <w:pPr>
              <w:widowControl/>
              <w:autoSpaceDE w:val="0"/>
              <w:autoSpaceDN w:val="0"/>
              <w:adjustRightInd w:val="0"/>
              <w:spacing w:before="120" w:after="120" w:line="440" w:lineRule="exact"/>
              <w:jc w:val="left"/>
              <w:rPr>
                <w:rFonts w:ascii="仿宋" w:hAnsi="仿宋" w:eastAsia="仿宋" w:cs="仿宋"/>
                <w:color w:val="auto"/>
                <w:kern w:val="1"/>
                <w:sz w:val="24"/>
                <w:szCs w:val="24"/>
                <w:highlight w:val="none"/>
              </w:rPr>
            </w:pPr>
            <w:r>
              <w:rPr>
                <w:rFonts w:hint="eastAsia" w:ascii="仿宋" w:hAnsi="仿宋" w:eastAsia="仿宋" w:cs="仿宋"/>
                <w:color w:val="auto"/>
                <w:kern w:val="1"/>
                <w:sz w:val="24"/>
                <w:szCs w:val="24"/>
                <w:highlight w:val="none"/>
              </w:rPr>
              <w:t>3</w:t>
            </w:r>
          </w:p>
        </w:tc>
        <w:tc>
          <w:tcPr>
            <w:tcW w:w="1868" w:type="dxa"/>
            <w:tcMar>
              <w:top w:w="100" w:type="dxa"/>
              <w:right w:w="100" w:type="dxa"/>
            </w:tcMar>
            <w:vAlign w:val="center"/>
          </w:tcPr>
          <w:p>
            <w:pPr>
              <w:widowControl/>
              <w:autoSpaceDE w:val="0"/>
              <w:autoSpaceDN w:val="0"/>
              <w:adjustRightInd w:val="0"/>
              <w:spacing w:line="240" w:lineRule="exact"/>
              <w:jc w:val="left"/>
              <w:rPr>
                <w:rFonts w:ascii="仿宋" w:hAnsi="仿宋" w:eastAsia="仿宋" w:cs="仿宋"/>
                <w:color w:val="auto"/>
                <w:kern w:val="1"/>
                <w:sz w:val="24"/>
                <w:szCs w:val="24"/>
                <w:highlight w:val="none"/>
              </w:rPr>
            </w:pPr>
          </w:p>
        </w:tc>
        <w:tc>
          <w:tcPr>
            <w:tcW w:w="5479" w:type="dxa"/>
            <w:tcMar>
              <w:top w:w="100" w:type="dxa"/>
              <w:right w:w="100" w:type="dxa"/>
            </w:tcMar>
          </w:tcPr>
          <w:p>
            <w:pPr>
              <w:widowControl/>
              <w:autoSpaceDE w:val="0"/>
              <w:autoSpaceDN w:val="0"/>
              <w:adjustRightInd w:val="0"/>
              <w:spacing w:line="240" w:lineRule="exact"/>
              <w:jc w:val="left"/>
              <w:rPr>
                <w:rFonts w:ascii="仿宋" w:hAnsi="仿宋" w:eastAsia="仿宋" w:cs="仿宋"/>
                <w:color w:val="auto"/>
                <w:kern w:val="1"/>
                <w:sz w:val="24"/>
                <w:szCs w:val="24"/>
                <w:highlight w:val="none"/>
              </w:rPr>
            </w:pPr>
          </w:p>
        </w:tc>
        <w:tc>
          <w:tcPr>
            <w:tcW w:w="1333" w:type="dxa"/>
            <w:tcMar>
              <w:top w:w="100" w:type="dxa"/>
              <w:right w:w="100" w:type="dxa"/>
            </w:tcMar>
          </w:tcPr>
          <w:p>
            <w:pPr>
              <w:widowControl/>
              <w:autoSpaceDE w:val="0"/>
              <w:autoSpaceDN w:val="0"/>
              <w:adjustRightInd w:val="0"/>
              <w:spacing w:line="240" w:lineRule="exact"/>
              <w:jc w:val="left"/>
              <w:rPr>
                <w:rFonts w:ascii="仿宋" w:hAnsi="仿宋" w:eastAsia="仿宋" w:cs="仿宋"/>
                <w:color w:val="auto"/>
                <w:kern w:val="1"/>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0" w:type="auto"/>
            <w:tcMar>
              <w:top w:w="100" w:type="dxa"/>
              <w:right w:w="100" w:type="dxa"/>
            </w:tcMar>
            <w:vAlign w:val="center"/>
          </w:tcPr>
          <w:p>
            <w:pPr>
              <w:widowControl/>
              <w:autoSpaceDE w:val="0"/>
              <w:autoSpaceDN w:val="0"/>
              <w:adjustRightInd w:val="0"/>
              <w:spacing w:before="120" w:after="120" w:line="440" w:lineRule="exact"/>
              <w:jc w:val="left"/>
              <w:rPr>
                <w:rFonts w:ascii="仿宋" w:hAnsi="仿宋" w:eastAsia="仿宋" w:cs="仿宋"/>
                <w:color w:val="auto"/>
                <w:kern w:val="1"/>
                <w:sz w:val="24"/>
                <w:szCs w:val="24"/>
                <w:highlight w:val="none"/>
              </w:rPr>
            </w:pPr>
            <w:r>
              <w:rPr>
                <w:rFonts w:hint="eastAsia" w:ascii="仿宋" w:hAnsi="仿宋" w:eastAsia="仿宋" w:cs="仿宋"/>
                <w:color w:val="auto"/>
                <w:kern w:val="1"/>
                <w:sz w:val="24"/>
                <w:szCs w:val="24"/>
                <w:highlight w:val="none"/>
              </w:rPr>
              <w:t>4</w:t>
            </w:r>
          </w:p>
        </w:tc>
        <w:tc>
          <w:tcPr>
            <w:tcW w:w="1868" w:type="dxa"/>
            <w:tcMar>
              <w:top w:w="100" w:type="dxa"/>
              <w:right w:w="100" w:type="dxa"/>
            </w:tcMar>
            <w:vAlign w:val="center"/>
          </w:tcPr>
          <w:p>
            <w:pPr>
              <w:widowControl/>
              <w:autoSpaceDE w:val="0"/>
              <w:autoSpaceDN w:val="0"/>
              <w:adjustRightInd w:val="0"/>
              <w:spacing w:line="240" w:lineRule="exact"/>
              <w:jc w:val="left"/>
              <w:rPr>
                <w:rFonts w:ascii="仿宋" w:hAnsi="仿宋" w:eastAsia="仿宋" w:cs="仿宋"/>
                <w:color w:val="auto"/>
                <w:kern w:val="1"/>
                <w:sz w:val="24"/>
                <w:szCs w:val="24"/>
                <w:highlight w:val="none"/>
              </w:rPr>
            </w:pPr>
          </w:p>
        </w:tc>
        <w:tc>
          <w:tcPr>
            <w:tcW w:w="5479" w:type="dxa"/>
            <w:tcMar>
              <w:top w:w="100" w:type="dxa"/>
              <w:right w:w="100" w:type="dxa"/>
            </w:tcMar>
          </w:tcPr>
          <w:p>
            <w:pPr>
              <w:widowControl/>
              <w:autoSpaceDE w:val="0"/>
              <w:autoSpaceDN w:val="0"/>
              <w:adjustRightInd w:val="0"/>
              <w:spacing w:line="240" w:lineRule="exact"/>
              <w:jc w:val="left"/>
              <w:rPr>
                <w:rFonts w:ascii="仿宋" w:hAnsi="仿宋" w:eastAsia="仿宋" w:cs="仿宋"/>
                <w:color w:val="auto"/>
                <w:kern w:val="1"/>
                <w:sz w:val="24"/>
                <w:szCs w:val="24"/>
                <w:highlight w:val="none"/>
              </w:rPr>
            </w:pPr>
          </w:p>
        </w:tc>
        <w:tc>
          <w:tcPr>
            <w:tcW w:w="1333" w:type="dxa"/>
            <w:tcMar>
              <w:top w:w="100" w:type="dxa"/>
              <w:right w:w="100" w:type="dxa"/>
            </w:tcMar>
          </w:tcPr>
          <w:p>
            <w:pPr>
              <w:widowControl/>
              <w:autoSpaceDE w:val="0"/>
              <w:autoSpaceDN w:val="0"/>
              <w:adjustRightInd w:val="0"/>
              <w:spacing w:line="240" w:lineRule="exact"/>
              <w:jc w:val="left"/>
              <w:rPr>
                <w:rFonts w:ascii="仿宋" w:hAnsi="仿宋" w:eastAsia="仿宋" w:cs="仿宋"/>
                <w:color w:val="auto"/>
                <w:kern w:val="1"/>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0" w:type="auto"/>
            <w:tcMar>
              <w:top w:w="100" w:type="dxa"/>
              <w:right w:w="100" w:type="dxa"/>
            </w:tcMar>
            <w:vAlign w:val="center"/>
          </w:tcPr>
          <w:p>
            <w:pPr>
              <w:widowControl/>
              <w:autoSpaceDE w:val="0"/>
              <w:autoSpaceDN w:val="0"/>
              <w:adjustRightInd w:val="0"/>
              <w:spacing w:before="120" w:after="120" w:line="440" w:lineRule="exact"/>
              <w:jc w:val="left"/>
              <w:rPr>
                <w:rFonts w:ascii="仿宋" w:hAnsi="仿宋" w:eastAsia="仿宋" w:cs="仿宋"/>
                <w:color w:val="auto"/>
                <w:kern w:val="1"/>
                <w:sz w:val="24"/>
                <w:szCs w:val="24"/>
                <w:highlight w:val="none"/>
              </w:rPr>
            </w:pPr>
            <w:r>
              <w:rPr>
                <w:rFonts w:hint="eastAsia" w:ascii="仿宋" w:hAnsi="仿宋" w:eastAsia="仿宋" w:cs="仿宋"/>
                <w:color w:val="auto"/>
                <w:kern w:val="1"/>
                <w:sz w:val="24"/>
                <w:szCs w:val="24"/>
                <w:highlight w:val="none"/>
              </w:rPr>
              <w:t>5</w:t>
            </w:r>
          </w:p>
        </w:tc>
        <w:tc>
          <w:tcPr>
            <w:tcW w:w="1868" w:type="dxa"/>
            <w:tcMar>
              <w:top w:w="100" w:type="dxa"/>
              <w:right w:w="100" w:type="dxa"/>
            </w:tcMar>
            <w:vAlign w:val="center"/>
          </w:tcPr>
          <w:p>
            <w:pPr>
              <w:widowControl/>
              <w:autoSpaceDE w:val="0"/>
              <w:autoSpaceDN w:val="0"/>
              <w:adjustRightInd w:val="0"/>
              <w:spacing w:line="240" w:lineRule="exact"/>
              <w:jc w:val="left"/>
              <w:rPr>
                <w:rFonts w:ascii="仿宋" w:hAnsi="仿宋" w:eastAsia="仿宋" w:cs="仿宋"/>
                <w:color w:val="auto"/>
                <w:kern w:val="1"/>
                <w:sz w:val="24"/>
                <w:szCs w:val="24"/>
                <w:highlight w:val="none"/>
              </w:rPr>
            </w:pPr>
          </w:p>
        </w:tc>
        <w:tc>
          <w:tcPr>
            <w:tcW w:w="5479" w:type="dxa"/>
            <w:tcMar>
              <w:top w:w="100" w:type="dxa"/>
              <w:right w:w="100" w:type="dxa"/>
            </w:tcMar>
          </w:tcPr>
          <w:p>
            <w:pPr>
              <w:widowControl/>
              <w:autoSpaceDE w:val="0"/>
              <w:autoSpaceDN w:val="0"/>
              <w:adjustRightInd w:val="0"/>
              <w:spacing w:line="240" w:lineRule="exact"/>
              <w:jc w:val="left"/>
              <w:rPr>
                <w:rFonts w:ascii="仿宋" w:hAnsi="仿宋" w:eastAsia="仿宋" w:cs="仿宋"/>
                <w:color w:val="auto"/>
                <w:kern w:val="1"/>
                <w:sz w:val="24"/>
                <w:szCs w:val="24"/>
                <w:highlight w:val="none"/>
              </w:rPr>
            </w:pPr>
          </w:p>
        </w:tc>
        <w:tc>
          <w:tcPr>
            <w:tcW w:w="1333" w:type="dxa"/>
            <w:tcMar>
              <w:top w:w="100" w:type="dxa"/>
              <w:right w:w="100" w:type="dxa"/>
            </w:tcMar>
          </w:tcPr>
          <w:p>
            <w:pPr>
              <w:widowControl/>
              <w:autoSpaceDE w:val="0"/>
              <w:autoSpaceDN w:val="0"/>
              <w:adjustRightInd w:val="0"/>
              <w:spacing w:line="240" w:lineRule="exact"/>
              <w:jc w:val="left"/>
              <w:rPr>
                <w:rFonts w:ascii="仿宋" w:hAnsi="仿宋" w:eastAsia="仿宋" w:cs="仿宋"/>
                <w:color w:val="auto"/>
                <w:kern w:val="1"/>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0" w:type="auto"/>
            <w:tcMar>
              <w:top w:w="100" w:type="dxa"/>
              <w:right w:w="100" w:type="dxa"/>
            </w:tcMar>
            <w:vAlign w:val="center"/>
          </w:tcPr>
          <w:p>
            <w:pPr>
              <w:widowControl/>
              <w:autoSpaceDE w:val="0"/>
              <w:autoSpaceDN w:val="0"/>
              <w:adjustRightInd w:val="0"/>
              <w:spacing w:before="120" w:after="120" w:line="440" w:lineRule="exact"/>
              <w:jc w:val="left"/>
              <w:rPr>
                <w:rFonts w:ascii="仿宋" w:hAnsi="仿宋" w:eastAsia="仿宋" w:cs="仿宋"/>
                <w:color w:val="auto"/>
                <w:kern w:val="1"/>
                <w:sz w:val="24"/>
                <w:szCs w:val="24"/>
                <w:highlight w:val="none"/>
              </w:rPr>
            </w:pPr>
            <w:r>
              <w:rPr>
                <w:rFonts w:hint="eastAsia" w:ascii="仿宋" w:hAnsi="仿宋" w:eastAsia="仿宋" w:cs="仿宋"/>
                <w:color w:val="auto"/>
                <w:kern w:val="1"/>
                <w:sz w:val="24"/>
                <w:szCs w:val="24"/>
                <w:highlight w:val="none"/>
              </w:rPr>
              <w:t>6</w:t>
            </w:r>
          </w:p>
        </w:tc>
        <w:tc>
          <w:tcPr>
            <w:tcW w:w="1868" w:type="dxa"/>
            <w:tcMar>
              <w:top w:w="100" w:type="dxa"/>
              <w:right w:w="100" w:type="dxa"/>
            </w:tcMar>
            <w:vAlign w:val="center"/>
          </w:tcPr>
          <w:p>
            <w:pPr>
              <w:widowControl/>
              <w:autoSpaceDE w:val="0"/>
              <w:autoSpaceDN w:val="0"/>
              <w:adjustRightInd w:val="0"/>
              <w:spacing w:line="240" w:lineRule="exact"/>
              <w:jc w:val="left"/>
              <w:rPr>
                <w:rFonts w:ascii="仿宋" w:hAnsi="仿宋" w:eastAsia="仿宋" w:cs="仿宋"/>
                <w:color w:val="auto"/>
                <w:kern w:val="1"/>
                <w:sz w:val="24"/>
                <w:szCs w:val="24"/>
                <w:highlight w:val="none"/>
              </w:rPr>
            </w:pPr>
          </w:p>
        </w:tc>
        <w:tc>
          <w:tcPr>
            <w:tcW w:w="5479" w:type="dxa"/>
            <w:tcMar>
              <w:top w:w="100" w:type="dxa"/>
              <w:right w:w="100" w:type="dxa"/>
            </w:tcMar>
          </w:tcPr>
          <w:p>
            <w:pPr>
              <w:widowControl/>
              <w:autoSpaceDE w:val="0"/>
              <w:autoSpaceDN w:val="0"/>
              <w:adjustRightInd w:val="0"/>
              <w:spacing w:line="240" w:lineRule="exact"/>
              <w:jc w:val="left"/>
              <w:rPr>
                <w:rFonts w:ascii="仿宋" w:hAnsi="仿宋" w:eastAsia="仿宋" w:cs="仿宋"/>
                <w:color w:val="auto"/>
                <w:kern w:val="1"/>
                <w:sz w:val="24"/>
                <w:szCs w:val="24"/>
                <w:highlight w:val="none"/>
              </w:rPr>
            </w:pPr>
          </w:p>
        </w:tc>
        <w:tc>
          <w:tcPr>
            <w:tcW w:w="1333" w:type="dxa"/>
            <w:tcMar>
              <w:top w:w="100" w:type="dxa"/>
              <w:right w:w="100" w:type="dxa"/>
            </w:tcMar>
          </w:tcPr>
          <w:p>
            <w:pPr>
              <w:widowControl/>
              <w:autoSpaceDE w:val="0"/>
              <w:autoSpaceDN w:val="0"/>
              <w:adjustRightInd w:val="0"/>
              <w:spacing w:line="240" w:lineRule="exact"/>
              <w:jc w:val="left"/>
              <w:rPr>
                <w:rFonts w:ascii="仿宋" w:hAnsi="仿宋" w:eastAsia="仿宋" w:cs="仿宋"/>
                <w:color w:val="auto"/>
                <w:kern w:val="1"/>
                <w:sz w:val="24"/>
                <w:szCs w:val="24"/>
                <w:highlight w:val="none"/>
              </w:rPr>
            </w:pPr>
          </w:p>
        </w:tc>
      </w:tr>
    </w:tbl>
    <w:p>
      <w:pPr>
        <w:widowControl/>
        <w:autoSpaceDE w:val="0"/>
        <w:autoSpaceDN w:val="0"/>
        <w:adjustRightInd w:val="0"/>
        <w:spacing w:line="440" w:lineRule="exact"/>
        <w:ind w:firstLine="480" w:firstLineChars="200"/>
        <w:jc w:val="left"/>
        <w:rPr>
          <w:rFonts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注：</w:t>
      </w:r>
    </w:p>
    <w:p>
      <w:pPr>
        <w:widowControl/>
        <w:autoSpaceDE w:val="0"/>
        <w:autoSpaceDN w:val="0"/>
        <w:adjustRightInd w:val="0"/>
        <w:spacing w:line="440" w:lineRule="exact"/>
        <w:ind w:firstLine="480" w:firstLineChars="200"/>
        <w:jc w:val="left"/>
        <w:rPr>
          <w:rFonts w:ascii="仿宋" w:hAnsi="仿宋" w:eastAsia="仿宋" w:cs="仿宋"/>
          <w:color w:val="auto"/>
          <w:kern w:val="1"/>
          <w:sz w:val="24"/>
          <w:szCs w:val="24"/>
          <w:highlight w:val="none"/>
        </w:rPr>
      </w:pPr>
      <w:r>
        <w:rPr>
          <w:rFonts w:hint="eastAsia" w:ascii="仿宋" w:hAnsi="仿宋" w:eastAsia="仿宋" w:cs="仿宋"/>
          <w:color w:val="auto"/>
          <w:sz w:val="24"/>
          <w:szCs w:val="24"/>
          <w:highlight w:val="none"/>
          <w:lang w:val="zh-CN"/>
        </w:rPr>
        <w:t>1.投标人应根据投标设备的性能指标,对照招标文件技术指标要求，如实逐条一一对应填写响应情况，如有未响应技术指标，评标委员会有权视其为负偏离；</w:t>
      </w:r>
    </w:p>
    <w:p>
      <w:pPr>
        <w:widowControl/>
        <w:autoSpaceDE w:val="0"/>
        <w:autoSpaceDN w:val="0"/>
        <w:adjustRightInd w:val="0"/>
        <w:spacing w:line="440" w:lineRule="exact"/>
        <w:ind w:firstLine="480" w:firstLineChars="200"/>
        <w:jc w:val="left"/>
        <w:rPr>
          <w:rFonts w:ascii="仿宋" w:hAnsi="仿宋" w:eastAsia="仿宋" w:cs="仿宋"/>
          <w:color w:val="auto"/>
          <w:kern w:val="1"/>
          <w:sz w:val="24"/>
          <w:szCs w:val="24"/>
          <w:highlight w:val="none"/>
        </w:rPr>
      </w:pPr>
      <w:r>
        <w:rPr>
          <w:rFonts w:hint="eastAsia" w:ascii="仿宋" w:hAnsi="仿宋" w:eastAsia="仿宋" w:cs="仿宋"/>
          <w:color w:val="auto"/>
          <w:kern w:val="1"/>
          <w:sz w:val="24"/>
          <w:szCs w:val="24"/>
          <w:highlight w:val="none"/>
        </w:rPr>
        <w:t>2.请投标人在“偏离情况”一栏详细描述存在正偏离或负偏离技术指标，并标明偏离情况；</w:t>
      </w:r>
    </w:p>
    <w:p>
      <w:pPr>
        <w:widowControl/>
        <w:autoSpaceDE w:val="0"/>
        <w:autoSpaceDN w:val="0"/>
        <w:adjustRightInd w:val="0"/>
        <w:spacing w:line="440" w:lineRule="exact"/>
        <w:ind w:firstLine="480" w:firstLineChars="200"/>
        <w:jc w:val="left"/>
        <w:rPr>
          <w:rFonts w:ascii="仿宋" w:hAnsi="仿宋" w:eastAsia="仿宋" w:cs="仿宋"/>
          <w:color w:val="auto"/>
          <w:sz w:val="24"/>
          <w:szCs w:val="24"/>
          <w:highlight w:val="none"/>
          <w:lang w:val="zh-CN"/>
        </w:rPr>
      </w:pPr>
      <w:r>
        <w:rPr>
          <w:rFonts w:hint="eastAsia" w:ascii="仿宋" w:hAnsi="仿宋" w:eastAsia="仿宋" w:cs="仿宋"/>
          <w:color w:val="auto"/>
          <w:kern w:val="1"/>
          <w:sz w:val="24"/>
          <w:szCs w:val="24"/>
          <w:highlight w:val="none"/>
        </w:rPr>
        <w:t>3.</w:t>
      </w:r>
      <w:r>
        <w:rPr>
          <w:rFonts w:hint="eastAsia" w:ascii="仿宋" w:hAnsi="仿宋" w:eastAsia="仿宋" w:cs="仿宋"/>
          <w:color w:val="auto"/>
          <w:sz w:val="24"/>
          <w:szCs w:val="24"/>
          <w:highlight w:val="none"/>
          <w:lang w:val="zh-CN"/>
        </w:rPr>
        <w:t>招标文件技术指标未做要求的，不视为正偏离。</w:t>
      </w:r>
    </w:p>
    <w:p>
      <w:pPr>
        <w:widowControl/>
        <w:autoSpaceDE w:val="0"/>
        <w:autoSpaceDN w:val="0"/>
        <w:adjustRightInd w:val="0"/>
        <w:spacing w:line="440" w:lineRule="exact"/>
        <w:ind w:firstLine="480" w:firstLineChars="200"/>
        <w:jc w:val="left"/>
        <w:rPr>
          <w:rFonts w:ascii="仿宋" w:hAnsi="仿宋" w:eastAsia="仿宋" w:cs="仿宋"/>
          <w:color w:val="auto"/>
          <w:kern w:val="1"/>
          <w:sz w:val="24"/>
          <w:szCs w:val="24"/>
          <w:highlight w:val="none"/>
        </w:rPr>
      </w:pPr>
    </w:p>
    <w:p>
      <w:pPr>
        <w:widowControl/>
        <w:autoSpaceDE w:val="0"/>
        <w:autoSpaceDN w:val="0"/>
        <w:adjustRightInd w:val="0"/>
        <w:spacing w:line="440" w:lineRule="exact"/>
        <w:ind w:right="-481" w:firstLine="2760" w:firstLineChars="1150"/>
        <w:jc w:val="left"/>
        <w:rPr>
          <w:rFonts w:ascii="仿宋" w:hAnsi="仿宋" w:eastAsia="仿宋" w:cs="仿宋"/>
          <w:color w:val="auto"/>
          <w:kern w:val="1"/>
          <w:sz w:val="24"/>
          <w:szCs w:val="24"/>
          <w:highlight w:val="none"/>
        </w:rPr>
      </w:pPr>
      <w:r>
        <w:rPr>
          <w:rFonts w:hint="eastAsia" w:ascii="仿宋" w:hAnsi="仿宋" w:eastAsia="仿宋" w:cs="仿宋"/>
          <w:color w:val="auto"/>
          <w:kern w:val="1"/>
          <w:sz w:val="24"/>
          <w:szCs w:val="24"/>
          <w:highlight w:val="none"/>
        </w:rPr>
        <w:t>投标人名称（公章）：</w:t>
      </w:r>
    </w:p>
    <w:p>
      <w:pPr>
        <w:widowControl/>
        <w:autoSpaceDE w:val="0"/>
        <w:autoSpaceDN w:val="0"/>
        <w:adjustRightInd w:val="0"/>
        <w:spacing w:line="440" w:lineRule="exact"/>
        <w:ind w:firstLine="2760" w:firstLineChars="1150"/>
        <w:jc w:val="left"/>
        <w:rPr>
          <w:rFonts w:ascii="仿宋" w:hAnsi="仿宋" w:eastAsia="仿宋" w:cs="仿宋"/>
          <w:color w:val="auto"/>
          <w:kern w:val="1"/>
          <w:sz w:val="24"/>
          <w:szCs w:val="24"/>
          <w:highlight w:val="none"/>
        </w:rPr>
      </w:pPr>
      <w:r>
        <w:rPr>
          <w:rFonts w:hint="eastAsia" w:ascii="仿宋" w:hAnsi="仿宋" w:eastAsia="仿宋" w:cs="仿宋"/>
          <w:color w:val="auto"/>
          <w:kern w:val="1"/>
          <w:sz w:val="24"/>
          <w:szCs w:val="24"/>
          <w:highlight w:val="none"/>
        </w:rPr>
        <w:t xml:space="preserve">投标人法定代表人或者被授权代表（签字）： </w:t>
      </w:r>
    </w:p>
    <w:p>
      <w:pPr>
        <w:widowControl/>
        <w:autoSpaceDE w:val="0"/>
        <w:autoSpaceDN w:val="0"/>
        <w:adjustRightInd w:val="0"/>
        <w:spacing w:line="440" w:lineRule="exact"/>
        <w:ind w:firstLine="2760" w:firstLineChars="1150"/>
        <w:jc w:val="left"/>
        <w:rPr>
          <w:rFonts w:ascii="仿宋" w:hAnsi="仿宋" w:eastAsia="仿宋" w:cs="仿宋"/>
          <w:color w:val="auto"/>
          <w:kern w:val="1"/>
          <w:sz w:val="24"/>
          <w:szCs w:val="24"/>
          <w:highlight w:val="none"/>
        </w:rPr>
      </w:pPr>
      <w:r>
        <w:rPr>
          <w:rFonts w:hint="eastAsia" w:ascii="仿宋" w:hAnsi="仿宋" w:eastAsia="仿宋" w:cs="仿宋"/>
          <w:color w:val="auto"/>
          <w:kern w:val="1"/>
          <w:sz w:val="24"/>
          <w:szCs w:val="24"/>
          <w:highlight w:val="none"/>
        </w:rPr>
        <w:t>日期：</w:t>
      </w:r>
    </w:p>
    <w:p>
      <w:pPr>
        <w:pStyle w:val="34"/>
        <w:spacing w:line="360" w:lineRule="auto"/>
        <w:outlineLvl w:val="1"/>
        <w:rPr>
          <w:rFonts w:ascii="仿宋" w:hAnsi="仿宋" w:eastAsia="仿宋" w:cs="仿宋"/>
          <w:b w:val="0"/>
          <w:color w:val="auto"/>
          <w:sz w:val="28"/>
          <w:szCs w:val="28"/>
          <w:highlight w:val="none"/>
        </w:rPr>
      </w:pPr>
      <w:bookmarkStart w:id="117" w:name="_Toc500862830"/>
      <w:bookmarkStart w:id="118" w:name="_Toc31037"/>
      <w:r>
        <w:rPr>
          <w:rFonts w:hint="eastAsia" w:ascii="仿宋" w:hAnsi="仿宋" w:eastAsia="仿宋" w:cs="仿宋"/>
          <w:b w:val="0"/>
          <w:color w:val="auto"/>
          <w:sz w:val="28"/>
          <w:szCs w:val="28"/>
          <w:highlight w:val="none"/>
        </w:rPr>
        <w:t>附件11：商务偏离表</w:t>
      </w:r>
      <w:bookmarkEnd w:id="117"/>
      <w:bookmarkEnd w:id="118"/>
    </w:p>
    <w:p>
      <w:pPr>
        <w:spacing w:line="480" w:lineRule="exact"/>
        <w:jc w:val="center"/>
        <w:rPr>
          <w:rFonts w:ascii="仿宋" w:hAnsi="仿宋" w:eastAsia="仿宋" w:cs="仿宋"/>
          <w:b/>
          <w:bCs/>
          <w:color w:val="auto"/>
          <w:sz w:val="30"/>
          <w:szCs w:val="24"/>
          <w:highlight w:val="none"/>
        </w:rPr>
      </w:pPr>
      <w:r>
        <w:rPr>
          <w:rFonts w:hint="eastAsia" w:ascii="仿宋" w:hAnsi="仿宋" w:eastAsia="仿宋" w:cs="仿宋"/>
          <w:b/>
          <w:bCs/>
          <w:color w:val="auto"/>
          <w:sz w:val="30"/>
          <w:szCs w:val="24"/>
          <w:highlight w:val="none"/>
        </w:rPr>
        <w:t>商务偏离表</w:t>
      </w:r>
    </w:p>
    <w:tbl>
      <w:tblPr>
        <w:tblStyle w:val="37"/>
        <w:tblW w:w="5000" w:type="pct"/>
        <w:tblInd w:w="0" w:type="dxa"/>
        <w:tblBorders>
          <w:top w:val="double" w:color="auto" w:sz="6" w:space="0"/>
          <w:left w:val="double" w:color="auto" w:sz="6" w:space="0"/>
          <w:bottom w:val="double" w:color="auto" w:sz="6" w:space="0"/>
          <w:right w:val="double" w:color="auto" w:sz="6" w:space="0"/>
          <w:insideH w:val="single" w:color="000000" w:sz="6" w:space="0"/>
          <w:insideV w:val="single" w:color="000000" w:sz="6" w:space="0"/>
        </w:tblBorders>
        <w:tblLayout w:type="autofit"/>
        <w:tblCellMar>
          <w:top w:w="0" w:type="dxa"/>
          <w:left w:w="28" w:type="dxa"/>
          <w:bottom w:w="0" w:type="dxa"/>
          <w:right w:w="28" w:type="dxa"/>
        </w:tblCellMar>
      </w:tblPr>
      <w:tblGrid>
        <w:gridCol w:w="726"/>
        <w:gridCol w:w="2610"/>
        <w:gridCol w:w="4013"/>
        <w:gridCol w:w="1574"/>
      </w:tblGrid>
      <w:tr>
        <w:tblPrEx>
          <w:tblBorders>
            <w:top w:val="double" w:color="auto" w:sz="6" w:space="0"/>
            <w:left w:val="double" w:color="auto" w:sz="6" w:space="0"/>
            <w:bottom w:val="double" w:color="auto" w:sz="6" w:space="0"/>
            <w:right w:val="double" w:color="auto" w:sz="6" w:space="0"/>
            <w:insideH w:val="single" w:color="000000" w:sz="6" w:space="0"/>
            <w:insideV w:val="single" w:color="000000" w:sz="6" w:space="0"/>
          </w:tblBorders>
          <w:tblCellMar>
            <w:top w:w="0" w:type="dxa"/>
            <w:left w:w="28" w:type="dxa"/>
            <w:bottom w:w="0" w:type="dxa"/>
            <w:right w:w="28" w:type="dxa"/>
          </w:tblCellMar>
        </w:tblPrEx>
        <w:trPr>
          <w:cantSplit/>
          <w:trHeight w:val="800" w:hRule="atLeast"/>
        </w:trPr>
        <w:tc>
          <w:tcPr>
            <w:tcW w:w="407" w:type="pct"/>
            <w:tcBorders>
              <w:top w:val="single" w:color="000000" w:sz="12" w:space="0"/>
              <w:left w:val="single" w:color="000000" w:sz="12" w:space="0"/>
              <w:bottom w:val="single" w:color="000000" w:sz="6" w:space="0"/>
            </w:tcBorders>
            <w:vAlign w:val="center"/>
          </w:tcPr>
          <w:p>
            <w:pPr>
              <w:spacing w:before="120"/>
              <w:jc w:val="left"/>
              <w:rPr>
                <w:rFonts w:ascii="仿宋" w:hAnsi="仿宋" w:eastAsia="仿宋" w:cs="仿宋"/>
                <w:color w:val="auto"/>
                <w:sz w:val="21"/>
                <w:szCs w:val="24"/>
                <w:highlight w:val="none"/>
              </w:rPr>
            </w:pPr>
            <w:r>
              <w:rPr>
                <w:rFonts w:hint="eastAsia" w:ascii="仿宋" w:hAnsi="仿宋" w:eastAsia="仿宋" w:cs="仿宋"/>
                <w:color w:val="auto"/>
                <w:sz w:val="21"/>
                <w:szCs w:val="24"/>
                <w:highlight w:val="none"/>
              </w:rPr>
              <w:t>序号</w:t>
            </w:r>
          </w:p>
        </w:tc>
        <w:tc>
          <w:tcPr>
            <w:tcW w:w="1462" w:type="pct"/>
            <w:tcBorders>
              <w:top w:val="single" w:color="000000" w:sz="12" w:space="0"/>
              <w:bottom w:val="single" w:color="000000" w:sz="6" w:space="0"/>
            </w:tcBorders>
            <w:vAlign w:val="center"/>
          </w:tcPr>
          <w:p>
            <w:pPr>
              <w:spacing w:before="120"/>
              <w:jc w:val="left"/>
              <w:rPr>
                <w:rFonts w:ascii="仿宋" w:hAnsi="仿宋" w:eastAsia="仿宋" w:cs="仿宋"/>
                <w:color w:val="auto"/>
                <w:sz w:val="21"/>
                <w:szCs w:val="24"/>
                <w:highlight w:val="none"/>
              </w:rPr>
            </w:pPr>
            <w:r>
              <w:rPr>
                <w:rFonts w:hint="eastAsia" w:ascii="仿宋" w:hAnsi="仿宋" w:eastAsia="仿宋" w:cs="仿宋"/>
                <w:color w:val="auto"/>
                <w:sz w:val="21"/>
                <w:szCs w:val="24"/>
                <w:highlight w:val="none"/>
              </w:rPr>
              <w:t>招标文件的商务条款</w:t>
            </w:r>
          </w:p>
        </w:tc>
        <w:tc>
          <w:tcPr>
            <w:tcW w:w="2248" w:type="pct"/>
            <w:tcBorders>
              <w:top w:val="single" w:color="000000" w:sz="12" w:space="0"/>
              <w:bottom w:val="single" w:color="000000" w:sz="6" w:space="0"/>
            </w:tcBorders>
            <w:vAlign w:val="center"/>
          </w:tcPr>
          <w:p>
            <w:pPr>
              <w:spacing w:before="120"/>
              <w:jc w:val="left"/>
              <w:rPr>
                <w:rFonts w:ascii="仿宋" w:hAnsi="仿宋" w:eastAsia="仿宋" w:cs="仿宋"/>
                <w:color w:val="auto"/>
                <w:sz w:val="21"/>
                <w:szCs w:val="24"/>
                <w:highlight w:val="none"/>
              </w:rPr>
            </w:pPr>
            <w:r>
              <w:rPr>
                <w:rFonts w:hint="eastAsia" w:ascii="仿宋" w:hAnsi="仿宋" w:eastAsia="仿宋" w:cs="仿宋"/>
                <w:color w:val="auto"/>
                <w:sz w:val="21"/>
                <w:szCs w:val="24"/>
                <w:highlight w:val="none"/>
              </w:rPr>
              <w:t>投标文件的商务响应</w:t>
            </w:r>
            <w:r>
              <w:rPr>
                <w:rFonts w:hint="eastAsia" w:ascii="仿宋" w:hAnsi="仿宋" w:eastAsia="仿宋" w:cs="仿宋"/>
                <w:b/>
                <w:color w:val="auto"/>
                <w:sz w:val="21"/>
                <w:szCs w:val="24"/>
                <w:highlight w:val="none"/>
              </w:rPr>
              <w:t>/</w:t>
            </w:r>
            <w:r>
              <w:rPr>
                <w:rFonts w:hint="eastAsia" w:ascii="仿宋" w:hAnsi="仿宋" w:eastAsia="仿宋" w:cs="仿宋"/>
                <w:color w:val="auto"/>
                <w:sz w:val="21"/>
                <w:szCs w:val="24"/>
                <w:highlight w:val="none"/>
              </w:rPr>
              <w:t>承诺情况</w:t>
            </w:r>
          </w:p>
        </w:tc>
        <w:tc>
          <w:tcPr>
            <w:tcW w:w="882" w:type="pct"/>
            <w:tcBorders>
              <w:top w:val="single" w:color="000000" w:sz="12" w:space="0"/>
              <w:bottom w:val="single" w:color="000000" w:sz="6" w:space="0"/>
              <w:right w:val="single" w:color="000000" w:sz="12" w:space="0"/>
            </w:tcBorders>
            <w:vAlign w:val="center"/>
          </w:tcPr>
          <w:p>
            <w:pPr>
              <w:spacing w:before="120"/>
              <w:jc w:val="left"/>
              <w:rPr>
                <w:rFonts w:ascii="仿宋" w:hAnsi="仿宋" w:eastAsia="仿宋" w:cs="仿宋"/>
                <w:color w:val="auto"/>
                <w:sz w:val="21"/>
                <w:szCs w:val="24"/>
                <w:highlight w:val="none"/>
              </w:rPr>
            </w:pPr>
            <w:r>
              <w:rPr>
                <w:rFonts w:hint="eastAsia" w:ascii="仿宋" w:hAnsi="仿宋" w:eastAsia="仿宋" w:cs="仿宋"/>
                <w:b/>
                <w:color w:val="auto"/>
                <w:sz w:val="21"/>
                <w:szCs w:val="21"/>
                <w:highlight w:val="none"/>
              </w:rPr>
              <w:t>填写要求及偏离情况（无偏离/正偏离/负偏离）</w:t>
            </w:r>
          </w:p>
        </w:tc>
      </w:tr>
      <w:tr>
        <w:tblPrEx>
          <w:tblBorders>
            <w:top w:val="double" w:color="auto" w:sz="6" w:space="0"/>
            <w:left w:val="double" w:color="auto" w:sz="6" w:space="0"/>
            <w:bottom w:val="double" w:color="auto" w:sz="6" w:space="0"/>
            <w:right w:val="double" w:color="auto" w:sz="6" w:space="0"/>
            <w:insideH w:val="single" w:color="000000" w:sz="6" w:space="0"/>
            <w:insideV w:val="single" w:color="000000" w:sz="6" w:space="0"/>
          </w:tblBorders>
          <w:tblCellMar>
            <w:top w:w="0" w:type="dxa"/>
            <w:left w:w="28" w:type="dxa"/>
            <w:bottom w:w="0" w:type="dxa"/>
            <w:right w:w="28" w:type="dxa"/>
          </w:tblCellMar>
        </w:tblPrEx>
        <w:trPr>
          <w:cantSplit/>
          <w:trHeight w:val="800" w:hRule="atLeast"/>
        </w:trPr>
        <w:tc>
          <w:tcPr>
            <w:tcW w:w="407" w:type="pct"/>
            <w:tcBorders>
              <w:top w:val="single" w:color="000000" w:sz="6" w:space="0"/>
              <w:left w:val="single" w:color="000000" w:sz="12" w:space="0"/>
              <w:bottom w:val="single" w:color="000000" w:sz="6" w:space="0"/>
            </w:tcBorders>
            <w:vAlign w:val="center"/>
          </w:tcPr>
          <w:p>
            <w:pPr>
              <w:jc w:val="left"/>
              <w:rPr>
                <w:rFonts w:ascii="仿宋" w:hAnsi="仿宋" w:eastAsia="仿宋" w:cs="仿宋"/>
                <w:b/>
                <w:color w:val="auto"/>
                <w:sz w:val="21"/>
                <w:szCs w:val="24"/>
                <w:highlight w:val="none"/>
              </w:rPr>
            </w:pPr>
            <w:r>
              <w:rPr>
                <w:rFonts w:hint="eastAsia" w:ascii="仿宋" w:hAnsi="仿宋" w:eastAsia="仿宋" w:cs="仿宋"/>
                <w:b/>
                <w:color w:val="auto"/>
                <w:sz w:val="21"/>
                <w:szCs w:val="24"/>
                <w:highlight w:val="none"/>
              </w:rPr>
              <w:t>1</w:t>
            </w:r>
          </w:p>
        </w:tc>
        <w:tc>
          <w:tcPr>
            <w:tcW w:w="1462" w:type="pct"/>
            <w:tcBorders>
              <w:top w:val="single" w:color="000000" w:sz="6" w:space="0"/>
              <w:bottom w:val="single" w:color="000000" w:sz="6" w:space="0"/>
            </w:tcBorders>
            <w:vAlign w:val="center"/>
          </w:tcPr>
          <w:p>
            <w:pPr>
              <w:jc w:val="left"/>
              <w:rPr>
                <w:rFonts w:ascii="仿宋" w:hAnsi="仿宋" w:eastAsia="仿宋" w:cs="仿宋"/>
                <w:color w:val="auto"/>
                <w:sz w:val="21"/>
                <w:szCs w:val="24"/>
                <w:highlight w:val="none"/>
              </w:rPr>
            </w:pPr>
            <w:r>
              <w:rPr>
                <w:rFonts w:hint="eastAsia" w:ascii="仿宋" w:hAnsi="仿宋" w:eastAsia="仿宋" w:cs="仿宋"/>
                <w:color w:val="auto"/>
                <w:sz w:val="21"/>
                <w:szCs w:val="24"/>
                <w:highlight w:val="none"/>
              </w:rPr>
              <w:t>按照招标文件规定的合同主要格式条款响应并执行</w:t>
            </w:r>
          </w:p>
        </w:tc>
        <w:tc>
          <w:tcPr>
            <w:tcW w:w="2248" w:type="pct"/>
            <w:tcBorders>
              <w:top w:val="single" w:color="000000" w:sz="6" w:space="0"/>
              <w:bottom w:val="single" w:color="000000" w:sz="6" w:space="0"/>
            </w:tcBorders>
            <w:vAlign w:val="center"/>
          </w:tcPr>
          <w:p>
            <w:pPr>
              <w:jc w:val="left"/>
              <w:rPr>
                <w:rFonts w:ascii="仿宋" w:hAnsi="仿宋" w:eastAsia="仿宋" w:cs="仿宋"/>
                <w:color w:val="auto"/>
                <w:sz w:val="21"/>
                <w:szCs w:val="24"/>
                <w:highlight w:val="none"/>
              </w:rPr>
            </w:pPr>
            <w:r>
              <w:rPr>
                <w:rFonts w:hint="eastAsia" w:ascii="仿宋" w:hAnsi="仿宋" w:eastAsia="仿宋" w:cs="仿宋"/>
                <w:color w:val="auto"/>
                <w:sz w:val="21"/>
                <w:szCs w:val="24"/>
                <w:highlight w:val="none"/>
              </w:rPr>
              <w:t>提示：请投标人按实际情况具体标明响应内容。以下相同。</w:t>
            </w:r>
          </w:p>
        </w:tc>
        <w:tc>
          <w:tcPr>
            <w:tcW w:w="882" w:type="pct"/>
            <w:tcBorders>
              <w:top w:val="single" w:color="000000" w:sz="6" w:space="0"/>
              <w:bottom w:val="single" w:color="000000" w:sz="6" w:space="0"/>
              <w:right w:val="single" w:color="000000" w:sz="12" w:space="0"/>
            </w:tcBorders>
            <w:vAlign w:val="center"/>
          </w:tcPr>
          <w:p>
            <w:pPr>
              <w:jc w:val="left"/>
              <w:rPr>
                <w:rFonts w:ascii="仿宋" w:hAnsi="仿宋" w:eastAsia="仿宋" w:cs="仿宋"/>
                <w:color w:val="auto"/>
                <w:sz w:val="21"/>
                <w:szCs w:val="24"/>
                <w:highlight w:val="none"/>
              </w:rPr>
            </w:pPr>
          </w:p>
        </w:tc>
      </w:tr>
      <w:tr>
        <w:tblPrEx>
          <w:tblBorders>
            <w:top w:val="double" w:color="auto" w:sz="6" w:space="0"/>
            <w:left w:val="double" w:color="auto" w:sz="6" w:space="0"/>
            <w:bottom w:val="double" w:color="auto" w:sz="6" w:space="0"/>
            <w:right w:val="double" w:color="auto" w:sz="6" w:space="0"/>
            <w:insideH w:val="single" w:color="000000" w:sz="6" w:space="0"/>
            <w:insideV w:val="single" w:color="000000" w:sz="6" w:space="0"/>
          </w:tblBorders>
          <w:tblCellMar>
            <w:top w:w="0" w:type="dxa"/>
            <w:left w:w="28" w:type="dxa"/>
            <w:bottom w:w="0" w:type="dxa"/>
            <w:right w:w="28" w:type="dxa"/>
          </w:tblCellMar>
        </w:tblPrEx>
        <w:trPr>
          <w:cantSplit/>
          <w:trHeight w:val="800" w:hRule="atLeast"/>
        </w:trPr>
        <w:tc>
          <w:tcPr>
            <w:tcW w:w="407" w:type="pct"/>
            <w:tcBorders>
              <w:top w:val="single" w:color="000000" w:sz="6" w:space="0"/>
              <w:left w:val="single" w:color="000000" w:sz="12" w:space="0"/>
              <w:bottom w:val="single" w:color="000000" w:sz="6" w:space="0"/>
            </w:tcBorders>
            <w:vAlign w:val="center"/>
          </w:tcPr>
          <w:p>
            <w:pPr>
              <w:jc w:val="left"/>
              <w:rPr>
                <w:rFonts w:ascii="仿宋" w:hAnsi="仿宋" w:eastAsia="仿宋" w:cs="仿宋"/>
                <w:b/>
                <w:color w:val="auto"/>
                <w:sz w:val="21"/>
                <w:szCs w:val="24"/>
                <w:highlight w:val="none"/>
              </w:rPr>
            </w:pPr>
            <w:r>
              <w:rPr>
                <w:rFonts w:hint="eastAsia" w:ascii="仿宋" w:hAnsi="仿宋" w:eastAsia="仿宋" w:cs="仿宋"/>
                <w:b/>
                <w:color w:val="auto"/>
                <w:sz w:val="21"/>
                <w:szCs w:val="24"/>
                <w:highlight w:val="none"/>
              </w:rPr>
              <w:t>2</w:t>
            </w:r>
          </w:p>
        </w:tc>
        <w:tc>
          <w:tcPr>
            <w:tcW w:w="1462" w:type="pct"/>
            <w:tcBorders>
              <w:top w:val="single" w:color="000000" w:sz="6" w:space="0"/>
              <w:bottom w:val="single" w:color="000000" w:sz="6" w:space="0"/>
            </w:tcBorders>
            <w:vAlign w:val="center"/>
          </w:tcPr>
          <w:p>
            <w:pPr>
              <w:jc w:val="left"/>
              <w:rPr>
                <w:rFonts w:ascii="仿宋" w:hAnsi="仿宋" w:eastAsia="仿宋" w:cs="仿宋"/>
                <w:color w:val="auto"/>
                <w:sz w:val="21"/>
                <w:szCs w:val="24"/>
                <w:highlight w:val="none"/>
              </w:rPr>
            </w:pPr>
            <w:r>
              <w:rPr>
                <w:rFonts w:hint="eastAsia" w:ascii="仿宋" w:hAnsi="仿宋" w:eastAsia="仿宋" w:cs="仿宋"/>
                <w:color w:val="auto"/>
                <w:sz w:val="21"/>
                <w:szCs w:val="24"/>
                <w:highlight w:val="none"/>
              </w:rPr>
              <w:t>依据“用户需求书”中的交货期、交货地点要求</w:t>
            </w:r>
          </w:p>
        </w:tc>
        <w:tc>
          <w:tcPr>
            <w:tcW w:w="2248" w:type="pct"/>
            <w:tcBorders>
              <w:top w:val="single" w:color="000000" w:sz="6" w:space="0"/>
              <w:bottom w:val="single" w:color="000000" w:sz="6" w:space="0"/>
            </w:tcBorders>
          </w:tcPr>
          <w:p>
            <w:pPr>
              <w:jc w:val="left"/>
              <w:rPr>
                <w:rFonts w:ascii="仿宋" w:hAnsi="仿宋" w:eastAsia="仿宋" w:cs="仿宋"/>
                <w:color w:val="auto"/>
                <w:sz w:val="21"/>
                <w:szCs w:val="24"/>
                <w:highlight w:val="none"/>
              </w:rPr>
            </w:pPr>
          </w:p>
        </w:tc>
        <w:tc>
          <w:tcPr>
            <w:tcW w:w="882" w:type="pct"/>
            <w:tcBorders>
              <w:top w:val="single" w:color="000000" w:sz="6" w:space="0"/>
              <w:bottom w:val="single" w:color="000000" w:sz="6" w:space="0"/>
              <w:right w:val="single" w:color="000000" w:sz="12" w:space="0"/>
            </w:tcBorders>
          </w:tcPr>
          <w:p>
            <w:pPr>
              <w:jc w:val="left"/>
              <w:rPr>
                <w:rFonts w:ascii="仿宋" w:hAnsi="仿宋" w:eastAsia="仿宋" w:cs="仿宋"/>
                <w:color w:val="auto"/>
                <w:sz w:val="21"/>
                <w:szCs w:val="24"/>
                <w:highlight w:val="none"/>
              </w:rPr>
            </w:pPr>
          </w:p>
        </w:tc>
      </w:tr>
      <w:tr>
        <w:tblPrEx>
          <w:tblBorders>
            <w:top w:val="double" w:color="auto" w:sz="6" w:space="0"/>
            <w:left w:val="double" w:color="auto" w:sz="6" w:space="0"/>
            <w:bottom w:val="double" w:color="auto" w:sz="6" w:space="0"/>
            <w:right w:val="double" w:color="auto" w:sz="6" w:space="0"/>
            <w:insideH w:val="single" w:color="000000" w:sz="6" w:space="0"/>
            <w:insideV w:val="single" w:color="000000" w:sz="6" w:space="0"/>
          </w:tblBorders>
          <w:tblCellMar>
            <w:top w:w="0" w:type="dxa"/>
            <w:left w:w="28" w:type="dxa"/>
            <w:bottom w:w="0" w:type="dxa"/>
            <w:right w:w="28" w:type="dxa"/>
          </w:tblCellMar>
        </w:tblPrEx>
        <w:trPr>
          <w:cantSplit/>
          <w:trHeight w:val="800" w:hRule="atLeast"/>
        </w:trPr>
        <w:tc>
          <w:tcPr>
            <w:tcW w:w="407" w:type="pct"/>
            <w:tcBorders>
              <w:top w:val="single" w:color="000000" w:sz="6" w:space="0"/>
              <w:left w:val="single" w:color="000000" w:sz="12" w:space="0"/>
              <w:bottom w:val="single" w:color="000000" w:sz="6" w:space="0"/>
            </w:tcBorders>
            <w:vAlign w:val="center"/>
          </w:tcPr>
          <w:p>
            <w:pPr>
              <w:jc w:val="left"/>
              <w:rPr>
                <w:rFonts w:ascii="仿宋" w:hAnsi="仿宋" w:eastAsia="仿宋" w:cs="仿宋"/>
                <w:b/>
                <w:color w:val="auto"/>
                <w:sz w:val="21"/>
                <w:szCs w:val="24"/>
                <w:highlight w:val="none"/>
              </w:rPr>
            </w:pPr>
            <w:r>
              <w:rPr>
                <w:rFonts w:hint="eastAsia" w:ascii="仿宋" w:hAnsi="仿宋" w:eastAsia="仿宋" w:cs="仿宋"/>
                <w:b/>
                <w:color w:val="auto"/>
                <w:sz w:val="21"/>
                <w:szCs w:val="24"/>
                <w:highlight w:val="none"/>
              </w:rPr>
              <w:t>3</w:t>
            </w:r>
          </w:p>
        </w:tc>
        <w:tc>
          <w:tcPr>
            <w:tcW w:w="1462" w:type="pct"/>
            <w:tcBorders>
              <w:top w:val="single" w:color="000000" w:sz="6" w:space="0"/>
              <w:bottom w:val="single" w:color="000000" w:sz="6" w:space="0"/>
            </w:tcBorders>
            <w:vAlign w:val="center"/>
          </w:tcPr>
          <w:p>
            <w:pPr>
              <w:jc w:val="left"/>
              <w:rPr>
                <w:rFonts w:ascii="仿宋" w:hAnsi="仿宋" w:eastAsia="仿宋" w:cs="仿宋"/>
                <w:color w:val="auto"/>
                <w:sz w:val="21"/>
                <w:szCs w:val="24"/>
                <w:highlight w:val="none"/>
              </w:rPr>
            </w:pPr>
            <w:r>
              <w:rPr>
                <w:rFonts w:hint="eastAsia" w:ascii="仿宋" w:hAnsi="仿宋" w:eastAsia="仿宋" w:cs="仿宋"/>
                <w:color w:val="auto"/>
                <w:sz w:val="21"/>
                <w:szCs w:val="24"/>
                <w:highlight w:val="none"/>
              </w:rPr>
              <w:t>依据“用户需求书”中的付款方式要求</w:t>
            </w:r>
          </w:p>
        </w:tc>
        <w:tc>
          <w:tcPr>
            <w:tcW w:w="2248" w:type="pct"/>
            <w:tcBorders>
              <w:top w:val="single" w:color="000000" w:sz="6" w:space="0"/>
              <w:bottom w:val="single" w:color="000000" w:sz="6" w:space="0"/>
            </w:tcBorders>
          </w:tcPr>
          <w:p>
            <w:pPr>
              <w:jc w:val="left"/>
              <w:rPr>
                <w:rFonts w:ascii="仿宋" w:hAnsi="仿宋" w:eastAsia="仿宋" w:cs="仿宋"/>
                <w:color w:val="auto"/>
                <w:sz w:val="21"/>
                <w:szCs w:val="24"/>
                <w:highlight w:val="none"/>
              </w:rPr>
            </w:pPr>
          </w:p>
        </w:tc>
        <w:tc>
          <w:tcPr>
            <w:tcW w:w="882" w:type="pct"/>
            <w:tcBorders>
              <w:top w:val="single" w:color="000000" w:sz="6" w:space="0"/>
              <w:bottom w:val="single" w:color="000000" w:sz="6" w:space="0"/>
              <w:right w:val="single" w:color="000000" w:sz="12" w:space="0"/>
            </w:tcBorders>
          </w:tcPr>
          <w:p>
            <w:pPr>
              <w:jc w:val="left"/>
              <w:rPr>
                <w:rFonts w:ascii="仿宋" w:hAnsi="仿宋" w:eastAsia="仿宋" w:cs="仿宋"/>
                <w:color w:val="auto"/>
                <w:sz w:val="21"/>
                <w:szCs w:val="24"/>
                <w:highlight w:val="none"/>
              </w:rPr>
            </w:pPr>
          </w:p>
        </w:tc>
      </w:tr>
      <w:tr>
        <w:tblPrEx>
          <w:tblBorders>
            <w:top w:val="double" w:color="auto" w:sz="6" w:space="0"/>
            <w:left w:val="double" w:color="auto" w:sz="6" w:space="0"/>
            <w:bottom w:val="double" w:color="auto" w:sz="6" w:space="0"/>
            <w:right w:val="double" w:color="auto" w:sz="6" w:space="0"/>
            <w:insideH w:val="single" w:color="000000" w:sz="6" w:space="0"/>
            <w:insideV w:val="single" w:color="000000" w:sz="6" w:space="0"/>
          </w:tblBorders>
          <w:tblCellMar>
            <w:top w:w="0" w:type="dxa"/>
            <w:left w:w="28" w:type="dxa"/>
            <w:bottom w:w="0" w:type="dxa"/>
            <w:right w:w="28" w:type="dxa"/>
          </w:tblCellMar>
        </w:tblPrEx>
        <w:trPr>
          <w:cantSplit/>
          <w:trHeight w:val="800" w:hRule="atLeast"/>
        </w:trPr>
        <w:tc>
          <w:tcPr>
            <w:tcW w:w="407" w:type="pct"/>
            <w:tcBorders>
              <w:top w:val="single" w:color="000000" w:sz="6" w:space="0"/>
              <w:left w:val="single" w:color="000000" w:sz="12" w:space="0"/>
              <w:bottom w:val="single" w:color="000000" w:sz="6" w:space="0"/>
            </w:tcBorders>
            <w:vAlign w:val="center"/>
          </w:tcPr>
          <w:p>
            <w:pPr>
              <w:jc w:val="left"/>
              <w:rPr>
                <w:rFonts w:ascii="仿宋" w:hAnsi="仿宋" w:eastAsia="仿宋" w:cs="仿宋"/>
                <w:b/>
                <w:color w:val="auto"/>
                <w:sz w:val="21"/>
                <w:szCs w:val="24"/>
                <w:highlight w:val="none"/>
              </w:rPr>
            </w:pPr>
            <w:r>
              <w:rPr>
                <w:rFonts w:hint="eastAsia" w:ascii="仿宋" w:hAnsi="仿宋" w:eastAsia="仿宋" w:cs="仿宋"/>
                <w:b/>
                <w:color w:val="auto"/>
                <w:sz w:val="21"/>
                <w:szCs w:val="24"/>
                <w:highlight w:val="none"/>
              </w:rPr>
              <w:t>4</w:t>
            </w:r>
          </w:p>
        </w:tc>
        <w:tc>
          <w:tcPr>
            <w:tcW w:w="1462" w:type="pct"/>
            <w:tcBorders>
              <w:top w:val="single" w:color="000000" w:sz="6" w:space="0"/>
              <w:bottom w:val="single" w:color="000000" w:sz="6" w:space="0"/>
            </w:tcBorders>
            <w:vAlign w:val="center"/>
          </w:tcPr>
          <w:p>
            <w:pPr>
              <w:jc w:val="left"/>
              <w:rPr>
                <w:rFonts w:ascii="仿宋" w:hAnsi="仿宋" w:eastAsia="仿宋" w:cs="仿宋"/>
                <w:color w:val="auto"/>
                <w:sz w:val="21"/>
                <w:szCs w:val="24"/>
                <w:highlight w:val="none"/>
              </w:rPr>
            </w:pPr>
            <w:r>
              <w:rPr>
                <w:rFonts w:hint="eastAsia" w:ascii="仿宋" w:hAnsi="仿宋" w:eastAsia="仿宋" w:cs="仿宋"/>
                <w:color w:val="auto"/>
                <w:sz w:val="21"/>
                <w:szCs w:val="24"/>
                <w:highlight w:val="none"/>
              </w:rPr>
              <w:t>依据“用户需求书”中的质保期及售后服务要求</w:t>
            </w:r>
          </w:p>
        </w:tc>
        <w:tc>
          <w:tcPr>
            <w:tcW w:w="2248" w:type="pct"/>
            <w:tcBorders>
              <w:top w:val="single" w:color="000000" w:sz="6" w:space="0"/>
              <w:bottom w:val="single" w:color="000000" w:sz="6" w:space="0"/>
            </w:tcBorders>
          </w:tcPr>
          <w:p>
            <w:pPr>
              <w:jc w:val="left"/>
              <w:rPr>
                <w:rFonts w:ascii="仿宋" w:hAnsi="仿宋" w:eastAsia="仿宋" w:cs="仿宋"/>
                <w:color w:val="auto"/>
                <w:sz w:val="21"/>
                <w:szCs w:val="24"/>
                <w:highlight w:val="none"/>
              </w:rPr>
            </w:pPr>
          </w:p>
        </w:tc>
        <w:tc>
          <w:tcPr>
            <w:tcW w:w="882" w:type="pct"/>
            <w:tcBorders>
              <w:top w:val="single" w:color="000000" w:sz="6" w:space="0"/>
              <w:bottom w:val="single" w:color="000000" w:sz="6" w:space="0"/>
              <w:right w:val="single" w:color="000000" w:sz="12" w:space="0"/>
            </w:tcBorders>
          </w:tcPr>
          <w:p>
            <w:pPr>
              <w:jc w:val="left"/>
              <w:rPr>
                <w:rFonts w:ascii="仿宋" w:hAnsi="仿宋" w:eastAsia="仿宋" w:cs="仿宋"/>
                <w:color w:val="auto"/>
                <w:sz w:val="21"/>
                <w:szCs w:val="24"/>
                <w:highlight w:val="none"/>
              </w:rPr>
            </w:pPr>
            <w:r>
              <w:rPr>
                <w:rFonts w:hint="eastAsia" w:ascii="仿宋" w:hAnsi="仿宋" w:eastAsia="仿宋" w:cs="仿宋"/>
                <w:color w:val="auto"/>
                <w:sz w:val="21"/>
                <w:szCs w:val="24"/>
                <w:highlight w:val="none"/>
              </w:rPr>
              <w:t>填写要求：质保期应答必须为具体期限，不能含“以上”或“至少”等模糊字眼</w:t>
            </w:r>
          </w:p>
        </w:tc>
      </w:tr>
      <w:tr>
        <w:tblPrEx>
          <w:tblBorders>
            <w:top w:val="double" w:color="auto" w:sz="6" w:space="0"/>
            <w:left w:val="double" w:color="auto" w:sz="6" w:space="0"/>
            <w:bottom w:val="double" w:color="auto" w:sz="6" w:space="0"/>
            <w:right w:val="double" w:color="auto" w:sz="6" w:space="0"/>
            <w:insideH w:val="single" w:color="000000" w:sz="6" w:space="0"/>
            <w:insideV w:val="single" w:color="000000" w:sz="6" w:space="0"/>
          </w:tblBorders>
          <w:tblCellMar>
            <w:top w:w="0" w:type="dxa"/>
            <w:left w:w="28" w:type="dxa"/>
            <w:bottom w:w="0" w:type="dxa"/>
            <w:right w:w="28" w:type="dxa"/>
          </w:tblCellMar>
        </w:tblPrEx>
        <w:trPr>
          <w:cantSplit/>
          <w:trHeight w:val="699" w:hRule="atLeast"/>
        </w:trPr>
        <w:tc>
          <w:tcPr>
            <w:tcW w:w="407" w:type="pct"/>
            <w:tcBorders>
              <w:top w:val="single" w:color="000000" w:sz="6" w:space="0"/>
              <w:left w:val="single" w:color="000000" w:sz="12" w:space="0"/>
              <w:bottom w:val="single" w:color="000000" w:sz="6" w:space="0"/>
            </w:tcBorders>
            <w:vAlign w:val="center"/>
          </w:tcPr>
          <w:p>
            <w:pPr>
              <w:jc w:val="left"/>
              <w:rPr>
                <w:rFonts w:ascii="仿宋" w:hAnsi="仿宋" w:eastAsia="仿宋" w:cs="仿宋"/>
                <w:b/>
                <w:color w:val="auto"/>
                <w:sz w:val="21"/>
                <w:szCs w:val="24"/>
                <w:highlight w:val="none"/>
              </w:rPr>
            </w:pPr>
            <w:r>
              <w:rPr>
                <w:rFonts w:hint="eastAsia" w:ascii="仿宋" w:hAnsi="仿宋" w:eastAsia="仿宋" w:cs="仿宋"/>
                <w:b/>
                <w:color w:val="auto"/>
                <w:sz w:val="21"/>
                <w:szCs w:val="24"/>
                <w:highlight w:val="none"/>
              </w:rPr>
              <w:t>5</w:t>
            </w:r>
          </w:p>
        </w:tc>
        <w:tc>
          <w:tcPr>
            <w:tcW w:w="1462" w:type="pct"/>
            <w:tcBorders>
              <w:top w:val="single" w:color="000000" w:sz="6" w:space="0"/>
              <w:bottom w:val="single" w:color="000000" w:sz="6" w:space="0"/>
            </w:tcBorders>
            <w:vAlign w:val="center"/>
          </w:tcPr>
          <w:p>
            <w:pPr>
              <w:jc w:val="left"/>
              <w:rPr>
                <w:rFonts w:ascii="仿宋" w:hAnsi="仿宋" w:eastAsia="仿宋" w:cs="仿宋"/>
                <w:color w:val="auto"/>
                <w:sz w:val="21"/>
                <w:szCs w:val="24"/>
                <w:highlight w:val="none"/>
              </w:rPr>
            </w:pPr>
            <w:r>
              <w:rPr>
                <w:rFonts w:hint="eastAsia" w:ascii="仿宋" w:hAnsi="仿宋" w:eastAsia="仿宋" w:cs="仿宋"/>
                <w:color w:val="auto"/>
                <w:sz w:val="21"/>
                <w:szCs w:val="24"/>
                <w:highlight w:val="none"/>
              </w:rPr>
              <w:t>依据“用户需求书”中的安装调试要求、培训计划</w:t>
            </w:r>
          </w:p>
        </w:tc>
        <w:tc>
          <w:tcPr>
            <w:tcW w:w="2248" w:type="pct"/>
            <w:tcBorders>
              <w:top w:val="single" w:color="000000" w:sz="6" w:space="0"/>
              <w:bottom w:val="single" w:color="000000" w:sz="6" w:space="0"/>
            </w:tcBorders>
          </w:tcPr>
          <w:p>
            <w:pPr>
              <w:jc w:val="left"/>
              <w:rPr>
                <w:rFonts w:ascii="仿宋" w:hAnsi="仿宋" w:eastAsia="仿宋" w:cs="仿宋"/>
                <w:color w:val="auto"/>
                <w:sz w:val="21"/>
                <w:szCs w:val="24"/>
                <w:highlight w:val="none"/>
              </w:rPr>
            </w:pPr>
          </w:p>
        </w:tc>
        <w:tc>
          <w:tcPr>
            <w:tcW w:w="882" w:type="pct"/>
            <w:tcBorders>
              <w:top w:val="single" w:color="000000" w:sz="6" w:space="0"/>
              <w:bottom w:val="single" w:color="000000" w:sz="6" w:space="0"/>
              <w:right w:val="single" w:color="000000" w:sz="12" w:space="0"/>
            </w:tcBorders>
          </w:tcPr>
          <w:p>
            <w:pPr>
              <w:jc w:val="left"/>
              <w:rPr>
                <w:rFonts w:ascii="仿宋" w:hAnsi="仿宋" w:eastAsia="仿宋" w:cs="仿宋"/>
                <w:color w:val="auto"/>
                <w:sz w:val="21"/>
                <w:szCs w:val="24"/>
                <w:highlight w:val="none"/>
              </w:rPr>
            </w:pPr>
          </w:p>
        </w:tc>
      </w:tr>
      <w:tr>
        <w:tblPrEx>
          <w:tblBorders>
            <w:top w:val="double" w:color="auto" w:sz="6" w:space="0"/>
            <w:left w:val="double" w:color="auto" w:sz="6" w:space="0"/>
            <w:bottom w:val="double" w:color="auto" w:sz="6" w:space="0"/>
            <w:right w:val="double" w:color="auto" w:sz="6" w:space="0"/>
            <w:insideH w:val="single" w:color="000000" w:sz="6" w:space="0"/>
            <w:insideV w:val="single" w:color="000000" w:sz="6" w:space="0"/>
          </w:tblBorders>
          <w:tblCellMar>
            <w:top w:w="0" w:type="dxa"/>
            <w:left w:w="28" w:type="dxa"/>
            <w:bottom w:w="0" w:type="dxa"/>
            <w:right w:w="28" w:type="dxa"/>
          </w:tblCellMar>
        </w:tblPrEx>
        <w:trPr>
          <w:cantSplit/>
          <w:trHeight w:val="553" w:hRule="atLeast"/>
        </w:trPr>
        <w:tc>
          <w:tcPr>
            <w:tcW w:w="407" w:type="pct"/>
            <w:tcBorders>
              <w:top w:val="single" w:color="000000" w:sz="6" w:space="0"/>
              <w:left w:val="single" w:color="000000" w:sz="12" w:space="0"/>
              <w:bottom w:val="single" w:color="000000" w:sz="6" w:space="0"/>
            </w:tcBorders>
            <w:vAlign w:val="center"/>
          </w:tcPr>
          <w:p>
            <w:pPr>
              <w:jc w:val="left"/>
              <w:rPr>
                <w:rFonts w:ascii="仿宋" w:hAnsi="仿宋" w:eastAsia="仿宋" w:cs="仿宋"/>
                <w:b/>
                <w:color w:val="auto"/>
                <w:sz w:val="21"/>
                <w:szCs w:val="24"/>
                <w:highlight w:val="none"/>
              </w:rPr>
            </w:pPr>
            <w:r>
              <w:rPr>
                <w:rFonts w:hint="eastAsia" w:ascii="仿宋" w:hAnsi="仿宋" w:eastAsia="仿宋" w:cs="仿宋"/>
                <w:b/>
                <w:color w:val="auto"/>
                <w:sz w:val="21"/>
                <w:szCs w:val="24"/>
                <w:highlight w:val="none"/>
              </w:rPr>
              <w:t>6</w:t>
            </w:r>
          </w:p>
        </w:tc>
        <w:tc>
          <w:tcPr>
            <w:tcW w:w="1462" w:type="pct"/>
            <w:tcBorders>
              <w:top w:val="single" w:color="000000" w:sz="6" w:space="0"/>
              <w:bottom w:val="single" w:color="000000" w:sz="6" w:space="0"/>
            </w:tcBorders>
            <w:vAlign w:val="center"/>
          </w:tcPr>
          <w:p>
            <w:pPr>
              <w:jc w:val="left"/>
              <w:rPr>
                <w:rFonts w:ascii="仿宋" w:hAnsi="仿宋" w:eastAsia="仿宋" w:cs="仿宋"/>
                <w:color w:val="auto"/>
                <w:sz w:val="21"/>
                <w:szCs w:val="24"/>
                <w:highlight w:val="none"/>
              </w:rPr>
            </w:pPr>
            <w:r>
              <w:rPr>
                <w:rFonts w:hint="eastAsia" w:ascii="仿宋" w:hAnsi="仿宋" w:eastAsia="仿宋" w:cs="仿宋"/>
                <w:color w:val="auto"/>
                <w:sz w:val="21"/>
                <w:szCs w:val="24"/>
                <w:highlight w:val="none"/>
              </w:rPr>
              <w:t>依据“用户需求书”的质量保证要求</w:t>
            </w:r>
          </w:p>
        </w:tc>
        <w:tc>
          <w:tcPr>
            <w:tcW w:w="2248" w:type="pct"/>
            <w:tcBorders>
              <w:top w:val="single" w:color="000000" w:sz="6" w:space="0"/>
              <w:bottom w:val="single" w:color="000000" w:sz="6" w:space="0"/>
            </w:tcBorders>
          </w:tcPr>
          <w:p>
            <w:pPr>
              <w:jc w:val="left"/>
              <w:rPr>
                <w:rFonts w:ascii="仿宋" w:hAnsi="仿宋" w:eastAsia="仿宋" w:cs="仿宋"/>
                <w:color w:val="auto"/>
                <w:sz w:val="21"/>
                <w:szCs w:val="24"/>
                <w:highlight w:val="none"/>
              </w:rPr>
            </w:pPr>
          </w:p>
        </w:tc>
        <w:tc>
          <w:tcPr>
            <w:tcW w:w="882" w:type="pct"/>
            <w:tcBorders>
              <w:top w:val="single" w:color="000000" w:sz="6" w:space="0"/>
              <w:bottom w:val="single" w:color="000000" w:sz="6" w:space="0"/>
              <w:right w:val="single" w:color="000000" w:sz="12" w:space="0"/>
            </w:tcBorders>
          </w:tcPr>
          <w:p>
            <w:pPr>
              <w:jc w:val="left"/>
              <w:rPr>
                <w:rFonts w:ascii="仿宋" w:hAnsi="仿宋" w:eastAsia="仿宋" w:cs="仿宋"/>
                <w:color w:val="auto"/>
                <w:sz w:val="21"/>
                <w:szCs w:val="24"/>
                <w:highlight w:val="none"/>
              </w:rPr>
            </w:pPr>
          </w:p>
        </w:tc>
      </w:tr>
      <w:tr>
        <w:tblPrEx>
          <w:tblBorders>
            <w:top w:val="double" w:color="auto" w:sz="6" w:space="0"/>
            <w:left w:val="double" w:color="auto" w:sz="6" w:space="0"/>
            <w:bottom w:val="double" w:color="auto" w:sz="6" w:space="0"/>
            <w:right w:val="double" w:color="auto" w:sz="6" w:space="0"/>
            <w:insideH w:val="single" w:color="000000" w:sz="6" w:space="0"/>
            <w:insideV w:val="single" w:color="000000" w:sz="6" w:space="0"/>
          </w:tblBorders>
          <w:tblCellMar>
            <w:top w:w="0" w:type="dxa"/>
            <w:left w:w="28" w:type="dxa"/>
            <w:bottom w:w="0" w:type="dxa"/>
            <w:right w:w="28" w:type="dxa"/>
          </w:tblCellMar>
        </w:tblPrEx>
        <w:trPr>
          <w:cantSplit/>
          <w:trHeight w:val="800" w:hRule="atLeast"/>
        </w:trPr>
        <w:tc>
          <w:tcPr>
            <w:tcW w:w="407" w:type="pct"/>
            <w:tcBorders>
              <w:top w:val="single" w:color="000000" w:sz="6" w:space="0"/>
              <w:left w:val="single" w:color="000000" w:sz="12" w:space="0"/>
              <w:bottom w:val="single" w:color="000000" w:sz="6" w:space="0"/>
            </w:tcBorders>
            <w:vAlign w:val="center"/>
          </w:tcPr>
          <w:p>
            <w:pPr>
              <w:jc w:val="left"/>
              <w:rPr>
                <w:rFonts w:ascii="仿宋" w:hAnsi="仿宋" w:eastAsia="仿宋" w:cs="仿宋"/>
                <w:b/>
                <w:color w:val="auto"/>
                <w:sz w:val="21"/>
                <w:szCs w:val="24"/>
                <w:highlight w:val="none"/>
              </w:rPr>
            </w:pPr>
            <w:r>
              <w:rPr>
                <w:rFonts w:hint="eastAsia" w:ascii="仿宋" w:hAnsi="仿宋" w:eastAsia="仿宋" w:cs="仿宋"/>
                <w:b/>
                <w:color w:val="auto"/>
                <w:sz w:val="21"/>
                <w:szCs w:val="24"/>
                <w:highlight w:val="none"/>
              </w:rPr>
              <w:t>7</w:t>
            </w:r>
          </w:p>
        </w:tc>
        <w:tc>
          <w:tcPr>
            <w:tcW w:w="1462" w:type="pct"/>
            <w:tcBorders>
              <w:top w:val="single" w:color="000000" w:sz="6" w:space="0"/>
              <w:bottom w:val="single" w:color="000000" w:sz="6" w:space="0"/>
            </w:tcBorders>
            <w:vAlign w:val="center"/>
          </w:tcPr>
          <w:p>
            <w:pPr>
              <w:jc w:val="left"/>
              <w:rPr>
                <w:rFonts w:ascii="仿宋" w:hAnsi="仿宋" w:eastAsia="仿宋" w:cs="仿宋"/>
                <w:color w:val="auto"/>
                <w:sz w:val="21"/>
                <w:szCs w:val="24"/>
                <w:highlight w:val="none"/>
              </w:rPr>
            </w:pPr>
          </w:p>
        </w:tc>
        <w:tc>
          <w:tcPr>
            <w:tcW w:w="2248" w:type="pct"/>
            <w:tcBorders>
              <w:top w:val="single" w:color="000000" w:sz="6" w:space="0"/>
              <w:bottom w:val="single" w:color="000000" w:sz="6" w:space="0"/>
            </w:tcBorders>
          </w:tcPr>
          <w:p>
            <w:pPr>
              <w:jc w:val="left"/>
              <w:rPr>
                <w:rFonts w:ascii="仿宋" w:hAnsi="仿宋" w:eastAsia="仿宋" w:cs="仿宋"/>
                <w:color w:val="auto"/>
                <w:sz w:val="21"/>
                <w:szCs w:val="24"/>
                <w:highlight w:val="none"/>
              </w:rPr>
            </w:pPr>
          </w:p>
        </w:tc>
        <w:tc>
          <w:tcPr>
            <w:tcW w:w="882" w:type="pct"/>
            <w:tcBorders>
              <w:top w:val="single" w:color="000000" w:sz="6" w:space="0"/>
              <w:bottom w:val="single" w:color="000000" w:sz="6" w:space="0"/>
              <w:right w:val="single" w:color="000000" w:sz="12" w:space="0"/>
            </w:tcBorders>
          </w:tcPr>
          <w:p>
            <w:pPr>
              <w:jc w:val="left"/>
              <w:rPr>
                <w:rFonts w:ascii="仿宋" w:hAnsi="仿宋" w:eastAsia="仿宋" w:cs="仿宋"/>
                <w:color w:val="auto"/>
                <w:sz w:val="21"/>
                <w:szCs w:val="24"/>
                <w:highlight w:val="none"/>
              </w:rPr>
            </w:pPr>
          </w:p>
        </w:tc>
      </w:tr>
      <w:tr>
        <w:tblPrEx>
          <w:tblBorders>
            <w:top w:val="double" w:color="auto" w:sz="6" w:space="0"/>
            <w:left w:val="double" w:color="auto" w:sz="6" w:space="0"/>
            <w:bottom w:val="double" w:color="auto" w:sz="6" w:space="0"/>
            <w:right w:val="double" w:color="auto" w:sz="6" w:space="0"/>
            <w:insideH w:val="single" w:color="000000" w:sz="6" w:space="0"/>
            <w:insideV w:val="single" w:color="000000" w:sz="6" w:space="0"/>
          </w:tblBorders>
          <w:tblCellMar>
            <w:top w:w="0" w:type="dxa"/>
            <w:left w:w="28" w:type="dxa"/>
            <w:bottom w:w="0" w:type="dxa"/>
            <w:right w:w="28" w:type="dxa"/>
          </w:tblCellMar>
        </w:tblPrEx>
        <w:trPr>
          <w:cantSplit/>
          <w:trHeight w:val="560" w:hRule="atLeast"/>
        </w:trPr>
        <w:tc>
          <w:tcPr>
            <w:tcW w:w="407" w:type="pct"/>
            <w:tcBorders>
              <w:top w:val="single" w:color="000000" w:sz="6" w:space="0"/>
              <w:left w:val="single" w:color="000000" w:sz="12" w:space="0"/>
              <w:bottom w:val="single" w:color="000000" w:sz="6" w:space="0"/>
            </w:tcBorders>
            <w:vAlign w:val="center"/>
          </w:tcPr>
          <w:p>
            <w:pPr>
              <w:jc w:val="left"/>
              <w:rPr>
                <w:rFonts w:ascii="仿宋" w:hAnsi="仿宋" w:eastAsia="仿宋" w:cs="仿宋"/>
                <w:b/>
                <w:color w:val="auto"/>
                <w:sz w:val="21"/>
                <w:szCs w:val="24"/>
                <w:highlight w:val="none"/>
              </w:rPr>
            </w:pPr>
            <w:r>
              <w:rPr>
                <w:rFonts w:hint="eastAsia" w:ascii="仿宋" w:hAnsi="仿宋" w:eastAsia="仿宋" w:cs="仿宋"/>
                <w:b/>
                <w:color w:val="auto"/>
                <w:sz w:val="21"/>
                <w:szCs w:val="24"/>
                <w:highlight w:val="none"/>
              </w:rPr>
              <w:t>8</w:t>
            </w:r>
          </w:p>
        </w:tc>
        <w:tc>
          <w:tcPr>
            <w:tcW w:w="1462" w:type="pct"/>
            <w:tcBorders>
              <w:top w:val="single" w:color="000000" w:sz="6" w:space="0"/>
              <w:bottom w:val="single" w:color="000000" w:sz="6" w:space="0"/>
            </w:tcBorders>
            <w:vAlign w:val="center"/>
          </w:tcPr>
          <w:p>
            <w:pPr>
              <w:jc w:val="left"/>
              <w:rPr>
                <w:rFonts w:ascii="仿宋" w:hAnsi="仿宋" w:eastAsia="仿宋" w:cs="仿宋"/>
                <w:color w:val="auto"/>
                <w:sz w:val="21"/>
                <w:szCs w:val="24"/>
                <w:highlight w:val="none"/>
              </w:rPr>
            </w:pPr>
            <w:r>
              <w:rPr>
                <w:rFonts w:hint="eastAsia" w:ascii="仿宋" w:hAnsi="仿宋" w:eastAsia="仿宋" w:cs="仿宋"/>
                <w:color w:val="auto"/>
                <w:sz w:val="21"/>
                <w:szCs w:val="24"/>
                <w:highlight w:val="none"/>
              </w:rPr>
              <w:t>……</w:t>
            </w:r>
          </w:p>
        </w:tc>
        <w:tc>
          <w:tcPr>
            <w:tcW w:w="2248" w:type="pct"/>
            <w:tcBorders>
              <w:top w:val="single" w:color="000000" w:sz="6" w:space="0"/>
              <w:bottom w:val="single" w:color="000000" w:sz="6" w:space="0"/>
            </w:tcBorders>
          </w:tcPr>
          <w:p>
            <w:pPr>
              <w:jc w:val="left"/>
              <w:rPr>
                <w:rFonts w:ascii="仿宋" w:hAnsi="仿宋" w:eastAsia="仿宋" w:cs="仿宋"/>
                <w:color w:val="auto"/>
                <w:sz w:val="21"/>
                <w:szCs w:val="24"/>
                <w:highlight w:val="none"/>
              </w:rPr>
            </w:pPr>
          </w:p>
        </w:tc>
        <w:tc>
          <w:tcPr>
            <w:tcW w:w="882" w:type="pct"/>
            <w:tcBorders>
              <w:top w:val="single" w:color="000000" w:sz="6" w:space="0"/>
              <w:bottom w:val="single" w:color="000000" w:sz="6" w:space="0"/>
              <w:right w:val="single" w:color="000000" w:sz="12" w:space="0"/>
            </w:tcBorders>
          </w:tcPr>
          <w:p>
            <w:pPr>
              <w:jc w:val="left"/>
              <w:rPr>
                <w:rFonts w:ascii="仿宋" w:hAnsi="仿宋" w:eastAsia="仿宋" w:cs="仿宋"/>
                <w:color w:val="auto"/>
                <w:sz w:val="21"/>
                <w:szCs w:val="24"/>
                <w:highlight w:val="none"/>
              </w:rPr>
            </w:pPr>
          </w:p>
        </w:tc>
      </w:tr>
      <w:tr>
        <w:tblPrEx>
          <w:tblBorders>
            <w:top w:val="double" w:color="auto" w:sz="6" w:space="0"/>
            <w:left w:val="double" w:color="auto" w:sz="6" w:space="0"/>
            <w:bottom w:val="double" w:color="auto" w:sz="6" w:space="0"/>
            <w:right w:val="double" w:color="auto" w:sz="6" w:space="0"/>
            <w:insideH w:val="single" w:color="000000" w:sz="6" w:space="0"/>
            <w:insideV w:val="single" w:color="000000" w:sz="6" w:space="0"/>
          </w:tblBorders>
          <w:tblCellMar>
            <w:top w:w="0" w:type="dxa"/>
            <w:left w:w="28" w:type="dxa"/>
            <w:bottom w:w="0" w:type="dxa"/>
            <w:right w:w="28" w:type="dxa"/>
          </w:tblCellMar>
        </w:tblPrEx>
        <w:trPr>
          <w:cantSplit/>
          <w:trHeight w:val="554" w:hRule="atLeast"/>
        </w:trPr>
        <w:tc>
          <w:tcPr>
            <w:tcW w:w="407" w:type="pct"/>
            <w:tcBorders>
              <w:top w:val="single" w:color="000000" w:sz="6" w:space="0"/>
              <w:left w:val="single" w:color="000000" w:sz="12" w:space="0"/>
              <w:bottom w:val="single" w:color="000000" w:sz="12" w:space="0"/>
            </w:tcBorders>
            <w:vAlign w:val="center"/>
          </w:tcPr>
          <w:p>
            <w:pPr>
              <w:jc w:val="left"/>
              <w:rPr>
                <w:rFonts w:ascii="仿宋" w:hAnsi="仿宋" w:eastAsia="仿宋" w:cs="仿宋"/>
                <w:b/>
                <w:color w:val="auto"/>
                <w:sz w:val="21"/>
                <w:szCs w:val="24"/>
                <w:highlight w:val="none"/>
              </w:rPr>
            </w:pPr>
          </w:p>
        </w:tc>
        <w:tc>
          <w:tcPr>
            <w:tcW w:w="1462" w:type="pct"/>
            <w:tcBorders>
              <w:top w:val="single" w:color="000000" w:sz="6" w:space="0"/>
              <w:bottom w:val="single" w:color="000000" w:sz="12" w:space="0"/>
            </w:tcBorders>
            <w:vAlign w:val="center"/>
          </w:tcPr>
          <w:p>
            <w:pPr>
              <w:jc w:val="left"/>
              <w:rPr>
                <w:rFonts w:ascii="仿宋" w:hAnsi="仿宋" w:eastAsia="仿宋" w:cs="仿宋"/>
                <w:b/>
                <w:color w:val="auto"/>
                <w:sz w:val="21"/>
                <w:szCs w:val="24"/>
                <w:highlight w:val="none"/>
              </w:rPr>
            </w:pPr>
            <w:r>
              <w:rPr>
                <w:rFonts w:hint="eastAsia" w:ascii="仿宋" w:hAnsi="仿宋" w:eastAsia="仿宋" w:cs="仿宋"/>
                <w:b/>
                <w:color w:val="auto"/>
                <w:sz w:val="21"/>
                <w:szCs w:val="24"/>
                <w:highlight w:val="none"/>
              </w:rPr>
              <w:t>招标文件中其他的商务要求</w:t>
            </w:r>
          </w:p>
        </w:tc>
        <w:tc>
          <w:tcPr>
            <w:tcW w:w="2248" w:type="pct"/>
            <w:tcBorders>
              <w:top w:val="single" w:color="000000" w:sz="6" w:space="0"/>
              <w:bottom w:val="single" w:color="000000" w:sz="12" w:space="0"/>
            </w:tcBorders>
          </w:tcPr>
          <w:p>
            <w:pPr>
              <w:jc w:val="left"/>
              <w:rPr>
                <w:rFonts w:ascii="仿宋" w:hAnsi="仿宋" w:eastAsia="仿宋" w:cs="仿宋"/>
                <w:color w:val="auto"/>
                <w:sz w:val="21"/>
                <w:szCs w:val="24"/>
                <w:highlight w:val="none"/>
              </w:rPr>
            </w:pPr>
          </w:p>
        </w:tc>
        <w:tc>
          <w:tcPr>
            <w:tcW w:w="882" w:type="pct"/>
            <w:tcBorders>
              <w:top w:val="single" w:color="000000" w:sz="6" w:space="0"/>
              <w:bottom w:val="single" w:color="000000" w:sz="12" w:space="0"/>
              <w:right w:val="single" w:color="000000" w:sz="12" w:space="0"/>
            </w:tcBorders>
          </w:tcPr>
          <w:p>
            <w:pPr>
              <w:jc w:val="left"/>
              <w:rPr>
                <w:rFonts w:ascii="仿宋" w:hAnsi="仿宋" w:eastAsia="仿宋" w:cs="仿宋"/>
                <w:color w:val="auto"/>
                <w:sz w:val="21"/>
                <w:szCs w:val="24"/>
                <w:highlight w:val="none"/>
              </w:rPr>
            </w:pPr>
          </w:p>
        </w:tc>
      </w:tr>
    </w:tbl>
    <w:p>
      <w:pPr>
        <w:jc w:val="left"/>
        <w:rPr>
          <w:rFonts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ab/>
      </w:r>
      <w:r>
        <w:rPr>
          <w:rFonts w:hint="eastAsia" w:ascii="仿宋" w:hAnsi="仿宋" w:eastAsia="仿宋" w:cs="仿宋"/>
          <w:bCs/>
          <w:color w:val="auto"/>
          <w:sz w:val="21"/>
          <w:szCs w:val="21"/>
          <w:highlight w:val="none"/>
        </w:rPr>
        <w:t>注：</w:t>
      </w:r>
    </w:p>
    <w:p>
      <w:pPr>
        <w:spacing w:line="276" w:lineRule="auto"/>
        <w:ind w:left="630" w:leftChars="150" w:hanging="210" w:hangingChars="100"/>
        <w:jc w:val="left"/>
        <w:rPr>
          <w:rFonts w:ascii="仿宋" w:hAnsi="仿宋" w:eastAsia="仿宋" w:cs="仿宋"/>
          <w:bCs/>
          <w:strike/>
          <w:color w:val="auto"/>
          <w:sz w:val="21"/>
          <w:szCs w:val="21"/>
          <w:highlight w:val="none"/>
        </w:rPr>
      </w:pPr>
      <w:r>
        <w:rPr>
          <w:rFonts w:hint="eastAsia" w:ascii="仿宋" w:hAnsi="仿宋" w:eastAsia="仿宋" w:cs="仿宋"/>
          <w:color w:val="auto"/>
          <w:sz w:val="21"/>
          <w:szCs w:val="21"/>
          <w:highlight w:val="none"/>
        </w:rPr>
        <w:t>1.投标人应根据投标的实际情况对招标文件的商务条款内容（而非简单复制招标要求）作出全面响应，</w:t>
      </w:r>
      <w:r>
        <w:rPr>
          <w:rFonts w:hint="eastAsia" w:ascii="仿宋" w:hAnsi="仿宋" w:eastAsia="仿宋" w:cs="仿宋"/>
          <w:bCs/>
          <w:color w:val="auto"/>
          <w:sz w:val="21"/>
          <w:szCs w:val="21"/>
          <w:highlight w:val="none"/>
        </w:rPr>
        <w:t>投标人提交的投标文件中与招标文件商务部分的要求有不符时，应逐条列在商务偏离表中。</w:t>
      </w:r>
    </w:p>
    <w:p>
      <w:pPr>
        <w:spacing w:line="276" w:lineRule="auto"/>
        <w:ind w:left="735" w:leftChars="150" w:hanging="315" w:hangingChars="150"/>
        <w:jc w:val="left"/>
        <w:rPr>
          <w:rFonts w:ascii="仿宋" w:hAnsi="仿宋" w:eastAsia="仿宋" w:cs="仿宋"/>
          <w:color w:val="auto"/>
          <w:sz w:val="21"/>
          <w:szCs w:val="21"/>
          <w:highlight w:val="none"/>
          <w:shd w:val="pct10" w:color="auto" w:fill="FFFFFF"/>
        </w:rPr>
      </w:pPr>
      <w:r>
        <w:rPr>
          <w:rFonts w:hint="eastAsia" w:ascii="仿宋" w:hAnsi="仿宋" w:eastAsia="仿宋" w:cs="仿宋"/>
          <w:color w:val="auto"/>
          <w:sz w:val="21"/>
          <w:szCs w:val="21"/>
          <w:highlight w:val="none"/>
        </w:rPr>
        <w:t>2.表中“招标文件中其它商务条款”指除了投标人认为需要明确响应并已经列出的商务条款外，而在招标文件中仍有部分可能被投标人忽略或者不明确是否定义为商务要求的商务条款，这部分要求定义为招标文件中其它商务条款，如投标人明确说明为“无偏离”，则视为投标文件对除已列出响应的商务条款外的商务条款完全响应，并且对条款理解完全按照招标人的理解，如投标人说明为“负偏离”，则须将负偏离的相关商务条款明确列出，并予说明，否则，将影响得分。</w:t>
      </w:r>
    </w:p>
    <w:p>
      <w:pPr>
        <w:spacing w:line="276" w:lineRule="auto"/>
        <w:ind w:left="735" w:leftChars="150" w:hanging="315" w:hangingChars="150"/>
        <w:jc w:val="left"/>
        <w:rPr>
          <w:rFonts w:ascii="仿宋" w:hAnsi="仿宋" w:eastAsia="仿宋" w:cs="仿宋"/>
          <w:color w:val="auto"/>
          <w:sz w:val="21"/>
          <w:szCs w:val="21"/>
          <w:highlight w:val="none"/>
        </w:rPr>
      </w:pPr>
    </w:p>
    <w:p>
      <w:pPr>
        <w:widowControl/>
        <w:autoSpaceDE w:val="0"/>
        <w:autoSpaceDN w:val="0"/>
        <w:adjustRightInd w:val="0"/>
        <w:spacing w:line="440" w:lineRule="exact"/>
        <w:ind w:right="-481" w:firstLine="3000" w:firstLineChars="1250"/>
        <w:jc w:val="left"/>
        <w:rPr>
          <w:rFonts w:ascii="仿宋" w:hAnsi="仿宋" w:eastAsia="仿宋" w:cs="仿宋"/>
          <w:color w:val="auto"/>
          <w:kern w:val="1"/>
          <w:sz w:val="24"/>
          <w:szCs w:val="24"/>
          <w:highlight w:val="none"/>
        </w:rPr>
      </w:pPr>
      <w:bookmarkStart w:id="119" w:name="_Toc323130140"/>
      <w:bookmarkStart w:id="120" w:name="_Toc323129573"/>
      <w:bookmarkStart w:id="121" w:name="_Toc325620734"/>
      <w:r>
        <w:rPr>
          <w:rFonts w:hint="eastAsia" w:ascii="仿宋" w:hAnsi="仿宋" w:eastAsia="仿宋" w:cs="仿宋"/>
          <w:color w:val="auto"/>
          <w:kern w:val="1"/>
          <w:sz w:val="24"/>
          <w:szCs w:val="24"/>
          <w:highlight w:val="none"/>
        </w:rPr>
        <w:t>投标人名称（公章）：</w:t>
      </w:r>
    </w:p>
    <w:p>
      <w:pPr>
        <w:widowControl/>
        <w:autoSpaceDE w:val="0"/>
        <w:autoSpaceDN w:val="0"/>
        <w:adjustRightInd w:val="0"/>
        <w:spacing w:line="440" w:lineRule="exact"/>
        <w:ind w:right="-481" w:firstLine="3000" w:firstLineChars="1250"/>
        <w:jc w:val="left"/>
        <w:rPr>
          <w:rFonts w:ascii="仿宋" w:hAnsi="仿宋" w:eastAsia="仿宋" w:cs="仿宋"/>
          <w:color w:val="auto"/>
          <w:kern w:val="1"/>
          <w:sz w:val="24"/>
          <w:szCs w:val="24"/>
          <w:highlight w:val="none"/>
        </w:rPr>
      </w:pPr>
      <w:r>
        <w:rPr>
          <w:rFonts w:hint="eastAsia" w:ascii="仿宋" w:hAnsi="仿宋" w:eastAsia="仿宋" w:cs="仿宋"/>
          <w:color w:val="auto"/>
          <w:kern w:val="1"/>
          <w:sz w:val="24"/>
          <w:szCs w:val="24"/>
          <w:highlight w:val="none"/>
        </w:rPr>
        <w:t xml:space="preserve">投标人法定代表人或者被授权代表（签字）： </w:t>
      </w:r>
    </w:p>
    <w:p>
      <w:pPr>
        <w:widowControl/>
        <w:autoSpaceDE w:val="0"/>
        <w:autoSpaceDN w:val="0"/>
        <w:adjustRightInd w:val="0"/>
        <w:spacing w:line="440" w:lineRule="exact"/>
        <w:ind w:firstLine="3000" w:firstLineChars="1250"/>
        <w:jc w:val="left"/>
        <w:rPr>
          <w:rFonts w:ascii="仿宋" w:hAnsi="仿宋" w:eastAsia="仿宋" w:cs="仿宋"/>
          <w:color w:val="auto"/>
          <w:kern w:val="1"/>
          <w:sz w:val="24"/>
          <w:szCs w:val="24"/>
          <w:highlight w:val="none"/>
        </w:rPr>
      </w:pPr>
      <w:r>
        <w:rPr>
          <w:rFonts w:hint="eastAsia" w:ascii="仿宋" w:hAnsi="仿宋" w:eastAsia="仿宋" w:cs="仿宋"/>
          <w:color w:val="auto"/>
          <w:kern w:val="1"/>
          <w:sz w:val="24"/>
          <w:szCs w:val="24"/>
          <w:highlight w:val="none"/>
        </w:rPr>
        <w:t>日期：</w:t>
      </w:r>
    </w:p>
    <w:p>
      <w:pPr>
        <w:pStyle w:val="34"/>
        <w:spacing w:line="360" w:lineRule="auto"/>
        <w:outlineLvl w:val="1"/>
        <w:rPr>
          <w:rFonts w:ascii="仿宋" w:hAnsi="仿宋" w:eastAsia="仿宋" w:cs="仿宋"/>
          <w:b w:val="0"/>
          <w:color w:val="auto"/>
          <w:sz w:val="28"/>
          <w:szCs w:val="28"/>
          <w:highlight w:val="none"/>
        </w:rPr>
      </w:pPr>
      <w:bookmarkStart w:id="122" w:name="_Toc500862831"/>
      <w:bookmarkStart w:id="123" w:name="_Toc4153"/>
      <w:r>
        <w:rPr>
          <w:rFonts w:hint="eastAsia" w:ascii="仿宋" w:hAnsi="仿宋" w:eastAsia="仿宋" w:cs="仿宋"/>
          <w:b w:val="0"/>
          <w:color w:val="auto"/>
          <w:sz w:val="28"/>
          <w:szCs w:val="28"/>
          <w:highlight w:val="none"/>
        </w:rPr>
        <w:t>附件</w:t>
      </w:r>
      <w:bookmarkEnd w:id="119"/>
      <w:bookmarkEnd w:id="120"/>
      <w:r>
        <w:rPr>
          <w:rFonts w:hint="eastAsia" w:ascii="仿宋" w:hAnsi="仿宋" w:eastAsia="仿宋" w:cs="仿宋"/>
          <w:b w:val="0"/>
          <w:color w:val="auto"/>
          <w:sz w:val="28"/>
          <w:szCs w:val="28"/>
          <w:highlight w:val="none"/>
        </w:rPr>
        <w:t>12：</w:t>
      </w:r>
      <w:bookmarkEnd w:id="121"/>
      <w:r>
        <w:rPr>
          <w:rFonts w:hint="eastAsia" w:ascii="仿宋" w:hAnsi="仿宋" w:eastAsia="仿宋" w:cs="仿宋"/>
          <w:b w:val="0"/>
          <w:color w:val="auto"/>
          <w:sz w:val="28"/>
          <w:szCs w:val="28"/>
          <w:highlight w:val="none"/>
        </w:rPr>
        <w:t>投标产品近三年销售清单</w:t>
      </w:r>
      <w:bookmarkEnd w:id="122"/>
      <w:bookmarkEnd w:id="123"/>
    </w:p>
    <w:p>
      <w:pPr>
        <w:pStyle w:val="18"/>
        <w:spacing w:line="360" w:lineRule="auto"/>
        <w:ind w:firstLine="0" w:firstLineChars="0"/>
        <w:rPr>
          <w:rFonts w:ascii="仿宋" w:hAnsi="仿宋" w:eastAsia="仿宋" w:cs="仿宋"/>
          <w:color w:val="auto"/>
          <w:sz w:val="21"/>
          <w:szCs w:val="21"/>
          <w:highlight w:val="none"/>
        </w:rPr>
      </w:pPr>
    </w:p>
    <w:p>
      <w:pPr>
        <w:spacing w:line="48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投标产品销售清单清单（近三年）</w:t>
      </w:r>
    </w:p>
    <w:p>
      <w:pPr>
        <w:spacing w:line="480" w:lineRule="exact"/>
        <w:jc w:val="left"/>
        <w:rPr>
          <w:rFonts w:ascii="仿宋" w:hAnsi="仿宋" w:eastAsia="仿宋" w:cs="仿宋"/>
          <w:color w:val="auto"/>
          <w:highlight w:val="none"/>
        </w:rPr>
      </w:pPr>
    </w:p>
    <w:tbl>
      <w:tblPr>
        <w:tblStyle w:val="37"/>
        <w:tblW w:w="106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
        <w:gridCol w:w="2234"/>
        <w:gridCol w:w="1666"/>
        <w:gridCol w:w="992"/>
        <w:gridCol w:w="1134"/>
        <w:gridCol w:w="1417"/>
        <w:gridCol w:w="1398"/>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atLeast"/>
          <w:jc w:val="center"/>
        </w:trPr>
        <w:tc>
          <w:tcPr>
            <w:tcW w:w="822" w:type="dxa"/>
            <w:tcBorders>
              <w:top w:val="single" w:color="auto" w:sz="4" w:space="0"/>
              <w:left w:val="single" w:color="auto" w:sz="4" w:space="0"/>
              <w:bottom w:val="single" w:color="auto" w:sz="4" w:space="0"/>
              <w:right w:val="single" w:color="auto" w:sz="4" w:space="0"/>
            </w:tcBorders>
            <w:vAlign w:val="center"/>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2234" w:type="dxa"/>
            <w:tcBorders>
              <w:top w:val="single" w:color="auto" w:sz="4" w:space="0"/>
              <w:left w:val="single" w:color="auto" w:sz="4" w:space="0"/>
              <w:bottom w:val="single" w:color="auto" w:sz="4" w:space="0"/>
              <w:right w:val="single" w:color="auto" w:sz="4" w:space="0"/>
            </w:tcBorders>
            <w:vAlign w:val="center"/>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用户名称</w:t>
            </w:r>
          </w:p>
        </w:tc>
        <w:tc>
          <w:tcPr>
            <w:tcW w:w="1666" w:type="dxa"/>
            <w:tcBorders>
              <w:top w:val="single" w:color="auto" w:sz="4" w:space="0"/>
              <w:left w:val="single" w:color="auto" w:sz="4" w:space="0"/>
              <w:bottom w:val="single" w:color="auto" w:sz="4" w:space="0"/>
              <w:right w:val="single" w:color="auto" w:sz="4" w:space="0"/>
            </w:tcBorders>
            <w:vAlign w:val="center"/>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设备或项目名称</w:t>
            </w:r>
          </w:p>
        </w:tc>
        <w:tc>
          <w:tcPr>
            <w:tcW w:w="992" w:type="dxa"/>
            <w:tcBorders>
              <w:top w:val="single" w:color="auto" w:sz="4" w:space="0"/>
              <w:left w:val="single" w:color="auto" w:sz="4" w:space="0"/>
              <w:bottom w:val="single" w:color="auto" w:sz="4" w:space="0"/>
              <w:right w:val="single" w:color="auto" w:sz="4" w:space="0"/>
            </w:tcBorders>
            <w:vAlign w:val="center"/>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数量</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单价</w:t>
            </w:r>
          </w:p>
        </w:tc>
        <w:tc>
          <w:tcPr>
            <w:tcW w:w="1417" w:type="dxa"/>
            <w:tcBorders>
              <w:top w:val="single" w:color="auto" w:sz="4" w:space="0"/>
              <w:left w:val="single" w:color="auto" w:sz="4" w:space="0"/>
              <w:bottom w:val="single" w:color="auto" w:sz="4" w:space="0"/>
              <w:right w:val="single" w:color="auto" w:sz="4" w:space="0"/>
            </w:tcBorders>
            <w:vAlign w:val="center"/>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合同金额</w:t>
            </w:r>
          </w:p>
        </w:tc>
        <w:tc>
          <w:tcPr>
            <w:tcW w:w="1398" w:type="dxa"/>
            <w:tcBorders>
              <w:top w:val="single" w:color="auto" w:sz="4" w:space="0"/>
              <w:left w:val="single" w:color="auto" w:sz="4" w:space="0"/>
              <w:bottom w:val="single" w:color="auto" w:sz="4" w:space="0"/>
              <w:right w:val="single" w:color="auto" w:sz="4" w:space="0"/>
            </w:tcBorders>
            <w:vAlign w:val="center"/>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采购用户</w:t>
            </w:r>
          </w:p>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联系人</w:t>
            </w:r>
          </w:p>
        </w:tc>
        <w:tc>
          <w:tcPr>
            <w:tcW w:w="992" w:type="dxa"/>
            <w:tcBorders>
              <w:top w:val="single" w:color="auto" w:sz="4" w:space="0"/>
              <w:left w:val="single" w:color="auto" w:sz="4" w:space="0"/>
              <w:bottom w:val="single" w:color="auto" w:sz="4" w:space="0"/>
              <w:right w:val="single" w:color="auto" w:sz="4" w:space="0"/>
            </w:tcBorders>
            <w:vAlign w:val="center"/>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22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66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1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417"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39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22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66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1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417"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39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22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66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1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417"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39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22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66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1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417"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39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22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66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1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417"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39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22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66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1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417"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39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22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66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1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417"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39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22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66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1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417"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39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22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66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1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417"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39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22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66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1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417"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39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22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66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1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417"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39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22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66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1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417"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39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22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66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134"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417"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39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99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r>
    </w:tbl>
    <w:p>
      <w:pPr>
        <w:pStyle w:val="18"/>
        <w:spacing w:line="360" w:lineRule="auto"/>
        <w:ind w:left="1747" w:firstLine="461"/>
        <w:rPr>
          <w:rFonts w:ascii="仿宋" w:hAnsi="仿宋" w:eastAsia="仿宋" w:cs="仿宋"/>
          <w:color w:val="auto"/>
          <w:highlight w:val="none"/>
        </w:rPr>
      </w:pPr>
    </w:p>
    <w:p>
      <w:pPr>
        <w:widowControl/>
        <w:autoSpaceDE w:val="0"/>
        <w:autoSpaceDN w:val="0"/>
        <w:adjustRightInd w:val="0"/>
        <w:spacing w:line="440" w:lineRule="exact"/>
        <w:ind w:left="5320" w:leftChars="1900" w:right="-481" w:firstLine="980" w:firstLineChars="350"/>
        <w:jc w:val="left"/>
        <w:rPr>
          <w:rFonts w:ascii="仿宋" w:hAnsi="仿宋" w:eastAsia="仿宋" w:cs="仿宋"/>
          <w:color w:val="auto"/>
          <w:highlight w:val="none"/>
        </w:rPr>
      </w:pPr>
      <w:r>
        <w:rPr>
          <w:rFonts w:hint="eastAsia" w:ascii="仿宋" w:hAnsi="仿宋" w:eastAsia="仿宋" w:cs="仿宋"/>
          <w:color w:val="auto"/>
          <w:highlight w:val="none"/>
        </w:rPr>
        <w:t xml:space="preserve">                     </w:t>
      </w:r>
    </w:p>
    <w:p>
      <w:pPr>
        <w:widowControl/>
        <w:autoSpaceDE w:val="0"/>
        <w:autoSpaceDN w:val="0"/>
        <w:adjustRightInd w:val="0"/>
        <w:spacing w:line="440" w:lineRule="exact"/>
        <w:ind w:right="-481" w:firstLine="3000" w:firstLineChars="1250"/>
        <w:jc w:val="left"/>
        <w:rPr>
          <w:rFonts w:ascii="仿宋" w:hAnsi="仿宋" w:eastAsia="仿宋" w:cs="仿宋"/>
          <w:color w:val="auto"/>
          <w:kern w:val="1"/>
          <w:sz w:val="24"/>
          <w:szCs w:val="24"/>
          <w:highlight w:val="none"/>
        </w:rPr>
      </w:pPr>
      <w:r>
        <w:rPr>
          <w:rFonts w:hint="eastAsia" w:ascii="仿宋" w:hAnsi="仿宋" w:eastAsia="仿宋" w:cs="仿宋"/>
          <w:color w:val="auto"/>
          <w:kern w:val="1"/>
          <w:sz w:val="24"/>
          <w:szCs w:val="24"/>
          <w:highlight w:val="none"/>
        </w:rPr>
        <w:t>投标人名称（公章）：</w:t>
      </w:r>
    </w:p>
    <w:p>
      <w:pPr>
        <w:widowControl/>
        <w:autoSpaceDE w:val="0"/>
        <w:autoSpaceDN w:val="0"/>
        <w:adjustRightInd w:val="0"/>
        <w:spacing w:line="440" w:lineRule="exact"/>
        <w:ind w:right="-481" w:firstLine="3000" w:firstLineChars="1250"/>
        <w:jc w:val="left"/>
        <w:rPr>
          <w:rFonts w:ascii="仿宋" w:hAnsi="仿宋" w:eastAsia="仿宋" w:cs="仿宋"/>
          <w:color w:val="auto"/>
          <w:kern w:val="1"/>
          <w:sz w:val="24"/>
          <w:szCs w:val="24"/>
          <w:highlight w:val="none"/>
        </w:rPr>
      </w:pPr>
      <w:r>
        <w:rPr>
          <w:rFonts w:hint="eastAsia" w:ascii="仿宋" w:hAnsi="仿宋" w:eastAsia="仿宋" w:cs="仿宋"/>
          <w:color w:val="auto"/>
          <w:kern w:val="1"/>
          <w:sz w:val="24"/>
          <w:szCs w:val="24"/>
          <w:highlight w:val="none"/>
        </w:rPr>
        <w:t xml:space="preserve">投标人法定代表人或者被授权代表（签字）： </w:t>
      </w:r>
    </w:p>
    <w:p>
      <w:pPr>
        <w:widowControl/>
        <w:autoSpaceDE w:val="0"/>
        <w:autoSpaceDN w:val="0"/>
        <w:adjustRightInd w:val="0"/>
        <w:spacing w:line="440" w:lineRule="exact"/>
        <w:ind w:firstLine="3000" w:firstLineChars="1250"/>
        <w:jc w:val="left"/>
        <w:rPr>
          <w:rFonts w:ascii="仿宋" w:hAnsi="仿宋" w:eastAsia="仿宋" w:cs="仿宋"/>
          <w:color w:val="auto"/>
          <w:kern w:val="1"/>
          <w:sz w:val="24"/>
          <w:szCs w:val="24"/>
          <w:highlight w:val="none"/>
        </w:rPr>
      </w:pPr>
      <w:r>
        <w:rPr>
          <w:rFonts w:hint="eastAsia" w:ascii="仿宋" w:hAnsi="仿宋" w:eastAsia="仿宋" w:cs="仿宋"/>
          <w:color w:val="auto"/>
          <w:kern w:val="1"/>
          <w:sz w:val="24"/>
          <w:szCs w:val="24"/>
          <w:highlight w:val="none"/>
        </w:rPr>
        <w:t>日期：</w:t>
      </w:r>
    </w:p>
    <w:p>
      <w:pPr>
        <w:widowControl/>
        <w:autoSpaceDE w:val="0"/>
        <w:autoSpaceDN w:val="0"/>
        <w:adjustRightInd w:val="0"/>
        <w:spacing w:line="440" w:lineRule="exact"/>
        <w:ind w:firstLine="6960" w:firstLineChars="2900"/>
        <w:jc w:val="left"/>
        <w:rPr>
          <w:rFonts w:ascii="仿宋" w:hAnsi="仿宋" w:eastAsia="仿宋" w:cs="仿宋"/>
          <w:color w:val="auto"/>
          <w:kern w:val="1"/>
          <w:sz w:val="24"/>
          <w:szCs w:val="24"/>
          <w:highlight w:val="none"/>
        </w:rPr>
      </w:pPr>
    </w:p>
    <w:p>
      <w:pPr>
        <w:widowControl/>
        <w:autoSpaceDE w:val="0"/>
        <w:autoSpaceDN w:val="0"/>
        <w:adjustRightInd w:val="0"/>
        <w:spacing w:line="440" w:lineRule="exact"/>
        <w:ind w:firstLine="6960" w:firstLineChars="2900"/>
        <w:jc w:val="left"/>
        <w:rPr>
          <w:rFonts w:ascii="仿宋" w:hAnsi="仿宋" w:eastAsia="仿宋" w:cs="仿宋"/>
          <w:color w:val="auto"/>
          <w:kern w:val="1"/>
          <w:sz w:val="24"/>
          <w:szCs w:val="24"/>
          <w:highlight w:val="none"/>
        </w:rPr>
      </w:pPr>
    </w:p>
    <w:p>
      <w:pPr>
        <w:pStyle w:val="34"/>
        <w:spacing w:line="360" w:lineRule="auto"/>
        <w:outlineLvl w:val="1"/>
        <w:rPr>
          <w:rFonts w:ascii="仿宋" w:hAnsi="仿宋" w:eastAsia="仿宋" w:cs="仿宋"/>
          <w:b w:val="0"/>
          <w:color w:val="auto"/>
          <w:sz w:val="28"/>
          <w:szCs w:val="28"/>
          <w:highlight w:val="none"/>
        </w:rPr>
      </w:pPr>
      <w:bookmarkStart w:id="124" w:name="_Toc22897"/>
      <w:bookmarkStart w:id="125" w:name="_Toc500862832"/>
      <w:r>
        <w:rPr>
          <w:rFonts w:hint="eastAsia" w:ascii="仿宋" w:hAnsi="仿宋" w:eastAsia="仿宋" w:cs="仿宋"/>
          <w:b w:val="0"/>
          <w:color w:val="auto"/>
          <w:sz w:val="28"/>
          <w:szCs w:val="28"/>
          <w:highlight w:val="none"/>
        </w:rPr>
        <w:t>附件13：投标人近三年类似或相同项目业绩清单</w:t>
      </w:r>
      <w:bookmarkEnd w:id="124"/>
      <w:bookmarkEnd w:id="125"/>
    </w:p>
    <w:p>
      <w:pPr>
        <w:pStyle w:val="18"/>
        <w:spacing w:line="360" w:lineRule="auto"/>
        <w:ind w:firstLine="0" w:firstLineChars="0"/>
        <w:rPr>
          <w:rFonts w:ascii="仿宋" w:hAnsi="仿宋" w:eastAsia="仿宋" w:cs="仿宋"/>
          <w:color w:val="auto"/>
          <w:sz w:val="21"/>
          <w:szCs w:val="21"/>
          <w:highlight w:val="none"/>
        </w:rPr>
      </w:pPr>
    </w:p>
    <w:p>
      <w:pPr>
        <w:spacing w:line="48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投标人类似或相同项目业绩清单（近三年）</w:t>
      </w:r>
    </w:p>
    <w:p>
      <w:pPr>
        <w:spacing w:line="480" w:lineRule="exact"/>
        <w:jc w:val="left"/>
        <w:rPr>
          <w:rFonts w:ascii="仿宋" w:hAnsi="仿宋" w:eastAsia="仿宋" w:cs="仿宋"/>
          <w:color w:val="auto"/>
          <w:highlight w:val="none"/>
        </w:rPr>
      </w:pPr>
    </w:p>
    <w:tbl>
      <w:tblPr>
        <w:tblStyle w:val="37"/>
        <w:tblW w:w="88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
        <w:gridCol w:w="1996"/>
        <w:gridCol w:w="1612"/>
        <w:gridCol w:w="1388"/>
        <w:gridCol w:w="1551"/>
        <w:gridCol w:w="1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atLeast"/>
          <w:jc w:val="center"/>
        </w:trPr>
        <w:tc>
          <w:tcPr>
            <w:tcW w:w="822" w:type="dxa"/>
            <w:tcBorders>
              <w:top w:val="single" w:color="auto" w:sz="4" w:space="0"/>
              <w:left w:val="single" w:color="auto" w:sz="4" w:space="0"/>
              <w:bottom w:val="single" w:color="auto" w:sz="4" w:space="0"/>
              <w:right w:val="single" w:color="auto" w:sz="4" w:space="0"/>
            </w:tcBorders>
            <w:vAlign w:val="center"/>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1996" w:type="dxa"/>
            <w:tcBorders>
              <w:top w:val="single" w:color="auto" w:sz="4" w:space="0"/>
              <w:left w:val="single" w:color="auto" w:sz="4" w:space="0"/>
              <w:bottom w:val="single" w:color="auto" w:sz="4" w:space="0"/>
              <w:right w:val="single" w:color="auto" w:sz="4" w:space="0"/>
            </w:tcBorders>
            <w:vAlign w:val="center"/>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用户名称</w:t>
            </w:r>
          </w:p>
        </w:tc>
        <w:tc>
          <w:tcPr>
            <w:tcW w:w="1612" w:type="dxa"/>
            <w:tcBorders>
              <w:top w:val="single" w:color="auto" w:sz="4" w:space="0"/>
              <w:left w:val="single" w:color="auto" w:sz="4" w:space="0"/>
              <w:bottom w:val="single" w:color="auto" w:sz="4" w:space="0"/>
              <w:right w:val="single" w:color="auto" w:sz="4" w:space="0"/>
            </w:tcBorders>
            <w:vAlign w:val="center"/>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设备或项目名称</w:t>
            </w:r>
          </w:p>
        </w:tc>
        <w:tc>
          <w:tcPr>
            <w:tcW w:w="1388" w:type="dxa"/>
            <w:tcBorders>
              <w:top w:val="single" w:color="auto" w:sz="4" w:space="0"/>
              <w:left w:val="single" w:color="auto" w:sz="4" w:space="0"/>
              <w:bottom w:val="single" w:color="auto" w:sz="4" w:space="0"/>
              <w:right w:val="single" w:color="auto" w:sz="4" w:space="0"/>
            </w:tcBorders>
            <w:vAlign w:val="center"/>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合同金额</w:t>
            </w:r>
          </w:p>
        </w:tc>
        <w:tc>
          <w:tcPr>
            <w:tcW w:w="1551" w:type="dxa"/>
            <w:tcBorders>
              <w:top w:val="single" w:color="auto" w:sz="4" w:space="0"/>
              <w:left w:val="single" w:color="auto" w:sz="4" w:space="0"/>
              <w:bottom w:val="single" w:color="auto" w:sz="4" w:space="0"/>
              <w:right w:val="single" w:color="auto" w:sz="4" w:space="0"/>
            </w:tcBorders>
            <w:vAlign w:val="center"/>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采购用户</w:t>
            </w:r>
          </w:p>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联系人</w:t>
            </w:r>
          </w:p>
        </w:tc>
        <w:tc>
          <w:tcPr>
            <w:tcW w:w="1463" w:type="dxa"/>
            <w:tcBorders>
              <w:top w:val="single" w:color="auto" w:sz="4" w:space="0"/>
              <w:left w:val="single" w:color="auto" w:sz="4" w:space="0"/>
              <w:bottom w:val="single" w:color="auto" w:sz="4" w:space="0"/>
              <w:right w:val="single" w:color="auto" w:sz="4" w:space="0"/>
            </w:tcBorders>
            <w:vAlign w:val="center"/>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99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61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38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551"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463"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99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61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38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551"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463"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99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61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38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551"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463"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99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61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38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551"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463"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99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61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38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551"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463"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99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61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38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551"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463"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99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61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38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551"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463"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99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61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38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551"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463"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99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61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38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551"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463"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99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61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38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551"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463"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99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61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38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551"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463"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99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61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38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551"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463"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82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996"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612"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388"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551"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c>
          <w:tcPr>
            <w:tcW w:w="1463" w:type="dxa"/>
            <w:tcBorders>
              <w:top w:val="single" w:color="auto" w:sz="4" w:space="0"/>
              <w:left w:val="single" w:color="auto" w:sz="4" w:space="0"/>
              <w:bottom w:val="single" w:color="auto" w:sz="4" w:space="0"/>
              <w:right w:val="single" w:color="auto" w:sz="4" w:space="0"/>
            </w:tcBorders>
          </w:tcPr>
          <w:p>
            <w:pPr>
              <w:tabs>
                <w:tab w:val="left" w:pos="720"/>
                <w:tab w:val="left" w:pos="1440"/>
                <w:tab w:val="left" w:pos="1620"/>
              </w:tabs>
              <w:spacing w:line="360" w:lineRule="auto"/>
              <w:ind w:right="187"/>
              <w:jc w:val="left"/>
              <w:rPr>
                <w:rFonts w:ascii="仿宋" w:hAnsi="仿宋" w:eastAsia="仿宋" w:cs="仿宋"/>
                <w:color w:val="auto"/>
                <w:sz w:val="24"/>
                <w:szCs w:val="24"/>
                <w:highlight w:val="none"/>
              </w:rPr>
            </w:pPr>
          </w:p>
        </w:tc>
      </w:tr>
    </w:tbl>
    <w:p>
      <w:pPr>
        <w:spacing w:line="360" w:lineRule="auto"/>
        <w:ind w:firstLine="537" w:firstLineChars="224"/>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注：投标人须提供同类项目合同（关键页）复印件</w:t>
      </w:r>
    </w:p>
    <w:p>
      <w:pPr>
        <w:widowControl/>
        <w:autoSpaceDE w:val="0"/>
        <w:autoSpaceDN w:val="0"/>
        <w:adjustRightInd w:val="0"/>
        <w:spacing w:line="440" w:lineRule="exact"/>
        <w:ind w:left="5320" w:leftChars="1900" w:right="-481" w:firstLine="980" w:firstLineChars="350"/>
        <w:jc w:val="left"/>
        <w:rPr>
          <w:rFonts w:ascii="仿宋" w:hAnsi="仿宋" w:eastAsia="仿宋" w:cs="仿宋"/>
          <w:color w:val="auto"/>
          <w:highlight w:val="none"/>
        </w:rPr>
      </w:pPr>
      <w:r>
        <w:rPr>
          <w:rFonts w:hint="eastAsia" w:ascii="仿宋" w:hAnsi="仿宋" w:eastAsia="仿宋" w:cs="仿宋"/>
          <w:color w:val="auto"/>
          <w:highlight w:val="none"/>
        </w:rPr>
        <w:t xml:space="preserve">                     </w:t>
      </w:r>
    </w:p>
    <w:p>
      <w:pPr>
        <w:widowControl/>
        <w:autoSpaceDE w:val="0"/>
        <w:autoSpaceDN w:val="0"/>
        <w:adjustRightInd w:val="0"/>
        <w:spacing w:line="440" w:lineRule="exact"/>
        <w:ind w:right="-481" w:firstLine="3120" w:firstLineChars="1300"/>
        <w:jc w:val="left"/>
        <w:rPr>
          <w:rFonts w:ascii="仿宋" w:hAnsi="仿宋" w:eastAsia="仿宋" w:cs="仿宋"/>
          <w:color w:val="auto"/>
          <w:kern w:val="1"/>
          <w:sz w:val="24"/>
          <w:szCs w:val="24"/>
          <w:highlight w:val="none"/>
        </w:rPr>
      </w:pPr>
      <w:r>
        <w:rPr>
          <w:rFonts w:hint="eastAsia" w:ascii="仿宋" w:hAnsi="仿宋" w:eastAsia="仿宋" w:cs="仿宋"/>
          <w:color w:val="auto"/>
          <w:kern w:val="1"/>
          <w:sz w:val="24"/>
          <w:szCs w:val="24"/>
          <w:highlight w:val="none"/>
        </w:rPr>
        <w:t>投标人名称（公章）：</w:t>
      </w:r>
    </w:p>
    <w:p>
      <w:pPr>
        <w:widowControl/>
        <w:autoSpaceDE w:val="0"/>
        <w:autoSpaceDN w:val="0"/>
        <w:adjustRightInd w:val="0"/>
        <w:spacing w:line="440" w:lineRule="exact"/>
        <w:ind w:right="-481" w:firstLine="3120" w:firstLineChars="1300"/>
        <w:jc w:val="left"/>
        <w:rPr>
          <w:rFonts w:ascii="仿宋" w:hAnsi="仿宋" w:eastAsia="仿宋" w:cs="仿宋"/>
          <w:color w:val="auto"/>
          <w:kern w:val="1"/>
          <w:sz w:val="24"/>
          <w:szCs w:val="24"/>
          <w:highlight w:val="none"/>
        </w:rPr>
      </w:pPr>
      <w:r>
        <w:rPr>
          <w:rFonts w:hint="eastAsia" w:ascii="仿宋" w:hAnsi="仿宋" w:eastAsia="仿宋" w:cs="仿宋"/>
          <w:color w:val="auto"/>
          <w:kern w:val="1"/>
          <w:sz w:val="24"/>
          <w:szCs w:val="24"/>
          <w:highlight w:val="none"/>
        </w:rPr>
        <w:t xml:space="preserve">投标人法定代表人或者被授权代表（签字）： </w:t>
      </w:r>
    </w:p>
    <w:p>
      <w:pPr>
        <w:pStyle w:val="175"/>
        <w:spacing w:line="440" w:lineRule="exact"/>
        <w:rPr>
          <w:rFonts w:ascii="仿宋" w:hAnsi="仿宋" w:eastAsia="仿宋" w:cs="仿宋"/>
          <w:color w:val="auto"/>
          <w:kern w:val="1"/>
          <w:sz w:val="24"/>
          <w:szCs w:val="24"/>
          <w:highlight w:val="none"/>
        </w:rPr>
      </w:pPr>
      <w:r>
        <w:rPr>
          <w:rFonts w:hint="eastAsia" w:ascii="仿宋" w:hAnsi="仿宋" w:eastAsia="仿宋" w:cs="仿宋"/>
          <w:color w:val="auto"/>
          <w:kern w:val="1"/>
          <w:sz w:val="24"/>
          <w:szCs w:val="24"/>
          <w:highlight w:val="none"/>
        </w:rPr>
        <w:t>日期：</w:t>
      </w:r>
    </w:p>
    <w:p>
      <w:pPr>
        <w:pStyle w:val="175"/>
        <w:spacing w:line="440" w:lineRule="exact"/>
        <w:rPr>
          <w:rFonts w:ascii="仿宋" w:hAnsi="仿宋" w:eastAsia="仿宋" w:cs="仿宋"/>
          <w:color w:val="auto"/>
          <w:kern w:val="1"/>
          <w:sz w:val="24"/>
          <w:szCs w:val="24"/>
          <w:highlight w:val="none"/>
        </w:rPr>
      </w:pPr>
    </w:p>
    <w:p>
      <w:pPr>
        <w:widowControl/>
        <w:autoSpaceDE w:val="0"/>
        <w:autoSpaceDN w:val="0"/>
        <w:adjustRightInd w:val="0"/>
        <w:spacing w:line="440" w:lineRule="exact"/>
        <w:jc w:val="left"/>
        <w:rPr>
          <w:rFonts w:ascii="仿宋" w:hAnsi="仿宋" w:eastAsia="仿宋" w:cs="仿宋"/>
          <w:color w:val="auto"/>
          <w:kern w:val="1"/>
          <w:sz w:val="24"/>
          <w:szCs w:val="24"/>
          <w:highlight w:val="none"/>
        </w:rPr>
      </w:pPr>
    </w:p>
    <w:sectPr>
      <w:headerReference r:id="rId6" w:type="default"/>
      <w:footerReference r:id="rId7" w:type="default"/>
      <w:pgSz w:w="11907" w:h="16840"/>
      <w:pgMar w:top="1418" w:right="1418" w:bottom="1247" w:left="1622" w:header="851" w:footer="851" w:gutter="0"/>
      <w:cols w:space="720" w:num="1"/>
      <w:docGrid w:linePitch="381" w:charSpace="-393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swiss"/>
    <w:pitch w:val="default"/>
    <w:sig w:usb0="00000000" w:usb1="00000000" w:usb2="0000003F" w:usb3="00000000" w:csb0="003F01FF" w:csb1="00000000"/>
  </w:font>
  <w:font w:name="Verdana">
    <w:panose1 w:val="020B0604030504040204"/>
    <w:charset w:val="00"/>
    <w:family w:val="swiss"/>
    <w:pitch w:val="default"/>
    <w:sig w:usb0="A00006FF" w:usb1="4000205B" w:usb2="0000001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23925653"/>
    </w:sdtPr>
    <w:sdtContent>
      <w:p>
        <w:pPr>
          <w:pStyle w:val="25"/>
          <w:jc w:val="center"/>
        </w:pPr>
        <w:r>
          <w:fldChar w:fldCharType="begin"/>
        </w:r>
        <w:r>
          <w:instrText xml:space="preserve">PAGE   \* MERGEFORMAT</w:instrText>
        </w:r>
        <w:r>
          <w:fldChar w:fldCharType="separate"/>
        </w:r>
        <w:r>
          <w:rPr>
            <w:lang w:val="zh-CN"/>
          </w:rPr>
          <w:t>15</w:t>
        </w:r>
        <w:r>
          <w:fldChar w:fldCharType="end"/>
        </w:r>
      </w:p>
    </w:sdtContent>
  </w:sdt>
  <w:p>
    <w:pPr>
      <w:pStyle w:val="2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47955"/>
              <wp:effectExtent l="0" t="2540" r="3175" b="1905"/>
              <wp:wrapNone/>
              <wp:docPr id="2" name="文本框 5"/>
              <wp:cNvGraphicFramePr/>
              <a:graphic xmlns:a="http://schemas.openxmlformats.org/drawingml/2006/main">
                <a:graphicData uri="http://schemas.microsoft.com/office/word/2010/wordprocessingShape">
                  <wps:wsp>
                    <wps:cNvSpPr txBox="1">
                      <a:spLocks noChangeArrowheads="1"/>
                    </wps:cNvSpPr>
                    <wps:spPr bwMode="auto">
                      <a:xfrm>
                        <a:off x="0" y="0"/>
                        <a:ext cx="114935" cy="147955"/>
                      </a:xfrm>
                      <a:prstGeom prst="rect">
                        <a:avLst/>
                      </a:prstGeom>
                      <a:noFill/>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39</w:t>
                          </w:r>
                          <w:r>
                            <w:rPr>
                              <w:rFonts w:hint="eastAsia"/>
                              <w:sz w:val="18"/>
                            </w:rPr>
                            <w:fldChar w:fldCharType="end"/>
                          </w:r>
                        </w:p>
                      </w:txbxContent>
                    </wps:txbx>
                    <wps:bodyPr rot="0" vert="horz" wrap="none" lIns="0" tIns="0" rIns="0" bIns="0" anchor="t" anchorCtr="0" upright="1">
                      <a:spAutoFit/>
                    </wps:bodyPr>
                  </wps:wsp>
                </a:graphicData>
              </a:graphic>
            </wp:anchor>
          </w:drawing>
        </mc:Choice>
        <mc:Fallback>
          <w:pict>
            <v:shape id="文本框 5" o:spid="_x0000_s1026" o:spt="202" type="#_x0000_t202" style="position:absolute;left:0pt;margin-top:0pt;height:11.65pt;width:9.05pt;mso-position-horizontal:center;mso-position-horizontal-relative:margin;mso-wrap-style:none;z-index:251659264;mso-width-relative:page;mso-height-relative:page;" filled="f" stroked="f" coordsize="21600,21600" o:gfxdata="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rpb8P0QAAAAMBAAAPAAAAAAAAAAEAIAAAACIAAABkcnMv&#10;ZG93bnJldi54bWxQSwECFAAUAAAACACHTuJArMqVOAoCAAACBAAADgAAAAAAAAABACAAAAAgAQAA&#10;ZHJzL2Uyb0RvYy54bWxQSwUGAAAAAAYABgBZAQAAnAU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39</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right="360" w:firstLine="4860" w:firstLineChars="270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935" cy="147955"/>
              <wp:effectExtent l="0" t="1270" r="2540" b="3175"/>
              <wp:wrapNone/>
              <wp:docPr id="1" name="文本框 6"/>
              <wp:cNvGraphicFramePr/>
              <a:graphic xmlns:a="http://schemas.openxmlformats.org/drawingml/2006/main">
                <a:graphicData uri="http://schemas.microsoft.com/office/word/2010/wordprocessingShape">
                  <wps:wsp>
                    <wps:cNvSpPr txBox="1">
                      <a:spLocks noChangeArrowheads="1"/>
                    </wps:cNvSpPr>
                    <wps:spPr bwMode="auto">
                      <a:xfrm>
                        <a:off x="0" y="0"/>
                        <a:ext cx="114935" cy="147955"/>
                      </a:xfrm>
                      <a:prstGeom prst="rect">
                        <a:avLst/>
                      </a:prstGeom>
                      <a:noFill/>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41</w:t>
                          </w:r>
                          <w:r>
                            <w:rPr>
                              <w:rFonts w:hint="eastAsia"/>
                              <w:sz w:val="18"/>
                            </w:rPr>
                            <w:fldChar w:fldCharType="end"/>
                          </w:r>
                        </w:p>
                      </w:txbxContent>
                    </wps:txbx>
                    <wps:bodyPr rot="0" vert="horz" wrap="none" lIns="0" tIns="0" rIns="0" bIns="0" anchor="t" anchorCtr="0" upright="1">
                      <a:spAutoFit/>
                    </wps:bodyPr>
                  </wps:wsp>
                </a:graphicData>
              </a:graphic>
            </wp:anchor>
          </w:drawing>
        </mc:Choice>
        <mc:Fallback>
          <w:pict>
            <v:shape id="文本框 6" o:spid="_x0000_s1026" o:spt="202" type="#_x0000_t202" style="position:absolute;left:0pt;margin-top:0pt;height:11.65pt;width:9.05pt;mso-position-horizontal:center;mso-position-horizontal-relative:margin;mso-wrap-style:none;z-index:251660288;mso-width-relative:page;mso-height-relative:page;" filled="f" stroked="f" coordsize="21600,21600" o:gfxdata="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rpb8P0QAAAAMBAAAPAAAAAAAAAAEAIAAAACIAAABkcnMv&#10;ZG93bnJldi54bWxQSwECFAAUAAAACACHTuJAJBVB/woCAAACBAAADgAAAAAAAAABACAAAAAgAQAA&#10;ZHJzL2Uyb0RvYy54bWxQSwUGAAAAAAYABgBZAQAAnAU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41</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ind w:left="-2800" w:leftChars="-1000" w:right="78" w:firstLine="1710" w:firstLineChars="95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D7BB857"/>
    <w:multiLevelType w:val="singleLevel"/>
    <w:tmpl w:val="CD7BB857"/>
    <w:lvl w:ilvl="0" w:tentative="0">
      <w:start w:val="1"/>
      <w:numFmt w:val="decimal"/>
      <w:suff w:val="nothing"/>
      <w:lvlText w:val="（%1）"/>
      <w:lvlJc w:val="left"/>
    </w:lvl>
  </w:abstractNum>
  <w:abstractNum w:abstractNumId="1">
    <w:nsid w:val="52DE1F3D"/>
    <w:multiLevelType w:val="singleLevel"/>
    <w:tmpl w:val="52DE1F3D"/>
    <w:lvl w:ilvl="0" w:tentative="0">
      <w:start w:val="4"/>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A2ZmU5ZTJjNzNkNjc0N2U3MWM0YTdhYjA5YjQ0MWYifQ=="/>
  </w:docVars>
  <w:rsids>
    <w:rsidRoot w:val="00172A27"/>
    <w:rsid w:val="00000FC9"/>
    <w:rsid w:val="00003823"/>
    <w:rsid w:val="00003F37"/>
    <w:rsid w:val="00005153"/>
    <w:rsid w:val="00013519"/>
    <w:rsid w:val="000144CA"/>
    <w:rsid w:val="00014D9A"/>
    <w:rsid w:val="000202FE"/>
    <w:rsid w:val="00021CC6"/>
    <w:rsid w:val="000224A6"/>
    <w:rsid w:val="000239BF"/>
    <w:rsid w:val="000319BB"/>
    <w:rsid w:val="00032321"/>
    <w:rsid w:val="00033239"/>
    <w:rsid w:val="000338CA"/>
    <w:rsid w:val="000367B1"/>
    <w:rsid w:val="00036FF9"/>
    <w:rsid w:val="00037F08"/>
    <w:rsid w:val="000408F3"/>
    <w:rsid w:val="00043E6E"/>
    <w:rsid w:val="00044CED"/>
    <w:rsid w:val="000459CB"/>
    <w:rsid w:val="000509FB"/>
    <w:rsid w:val="00056FA0"/>
    <w:rsid w:val="00064357"/>
    <w:rsid w:val="0006554A"/>
    <w:rsid w:val="000663F9"/>
    <w:rsid w:val="000704FB"/>
    <w:rsid w:val="0007206B"/>
    <w:rsid w:val="00073756"/>
    <w:rsid w:val="000817C1"/>
    <w:rsid w:val="000863B9"/>
    <w:rsid w:val="00087EAD"/>
    <w:rsid w:val="00090504"/>
    <w:rsid w:val="00090D0B"/>
    <w:rsid w:val="00090DFB"/>
    <w:rsid w:val="00091E17"/>
    <w:rsid w:val="00094BAE"/>
    <w:rsid w:val="000A0421"/>
    <w:rsid w:val="000A2F50"/>
    <w:rsid w:val="000A3BB8"/>
    <w:rsid w:val="000A5B88"/>
    <w:rsid w:val="000B3E98"/>
    <w:rsid w:val="000B4F99"/>
    <w:rsid w:val="000B6843"/>
    <w:rsid w:val="000C53BF"/>
    <w:rsid w:val="000C5CC7"/>
    <w:rsid w:val="000C79E2"/>
    <w:rsid w:val="000D32B2"/>
    <w:rsid w:val="000D3348"/>
    <w:rsid w:val="000E1562"/>
    <w:rsid w:val="000E2275"/>
    <w:rsid w:val="000E256F"/>
    <w:rsid w:val="000E562D"/>
    <w:rsid w:val="000E668A"/>
    <w:rsid w:val="001005BD"/>
    <w:rsid w:val="001007F9"/>
    <w:rsid w:val="00100BAD"/>
    <w:rsid w:val="00100D27"/>
    <w:rsid w:val="00102341"/>
    <w:rsid w:val="00103239"/>
    <w:rsid w:val="00112398"/>
    <w:rsid w:val="00114020"/>
    <w:rsid w:val="00115DDC"/>
    <w:rsid w:val="00116F8C"/>
    <w:rsid w:val="001213BB"/>
    <w:rsid w:val="00121A32"/>
    <w:rsid w:val="00122C18"/>
    <w:rsid w:val="00123E72"/>
    <w:rsid w:val="00125F6A"/>
    <w:rsid w:val="00127CA9"/>
    <w:rsid w:val="00130ABA"/>
    <w:rsid w:val="00130C94"/>
    <w:rsid w:val="00136E90"/>
    <w:rsid w:val="0013756E"/>
    <w:rsid w:val="001418EE"/>
    <w:rsid w:val="001434DA"/>
    <w:rsid w:val="00143D98"/>
    <w:rsid w:val="00145015"/>
    <w:rsid w:val="00150128"/>
    <w:rsid w:val="001501B1"/>
    <w:rsid w:val="00151EC6"/>
    <w:rsid w:val="00157196"/>
    <w:rsid w:val="00161311"/>
    <w:rsid w:val="00164346"/>
    <w:rsid w:val="00165EB8"/>
    <w:rsid w:val="00172A27"/>
    <w:rsid w:val="00175A02"/>
    <w:rsid w:val="001778B2"/>
    <w:rsid w:val="001822C6"/>
    <w:rsid w:val="0019054D"/>
    <w:rsid w:val="0019076E"/>
    <w:rsid w:val="00192952"/>
    <w:rsid w:val="00194D61"/>
    <w:rsid w:val="001A0A8D"/>
    <w:rsid w:val="001A6C36"/>
    <w:rsid w:val="001B0321"/>
    <w:rsid w:val="001B3835"/>
    <w:rsid w:val="001B3B9F"/>
    <w:rsid w:val="001B423A"/>
    <w:rsid w:val="001B505A"/>
    <w:rsid w:val="001B548E"/>
    <w:rsid w:val="001B7141"/>
    <w:rsid w:val="001C1DCE"/>
    <w:rsid w:val="001C4DFA"/>
    <w:rsid w:val="001C513E"/>
    <w:rsid w:val="001D06A2"/>
    <w:rsid w:val="001D15FD"/>
    <w:rsid w:val="001D21D1"/>
    <w:rsid w:val="001D2945"/>
    <w:rsid w:val="001D5231"/>
    <w:rsid w:val="001D66E6"/>
    <w:rsid w:val="001E10D7"/>
    <w:rsid w:val="001E63CA"/>
    <w:rsid w:val="001E67AB"/>
    <w:rsid w:val="001F0D98"/>
    <w:rsid w:val="001F151F"/>
    <w:rsid w:val="001F1C8D"/>
    <w:rsid w:val="001F2210"/>
    <w:rsid w:val="001F386C"/>
    <w:rsid w:val="001F49D6"/>
    <w:rsid w:val="001F6391"/>
    <w:rsid w:val="001F71D3"/>
    <w:rsid w:val="001F71D9"/>
    <w:rsid w:val="00206C0B"/>
    <w:rsid w:val="0021189F"/>
    <w:rsid w:val="002128D7"/>
    <w:rsid w:val="002158CA"/>
    <w:rsid w:val="002177A6"/>
    <w:rsid w:val="002224A8"/>
    <w:rsid w:val="00222832"/>
    <w:rsid w:val="00224090"/>
    <w:rsid w:val="002266EE"/>
    <w:rsid w:val="00227410"/>
    <w:rsid w:val="00230806"/>
    <w:rsid w:val="00230D5E"/>
    <w:rsid w:val="002317A7"/>
    <w:rsid w:val="002341D8"/>
    <w:rsid w:val="00235EF7"/>
    <w:rsid w:val="00236862"/>
    <w:rsid w:val="00237698"/>
    <w:rsid w:val="0024366C"/>
    <w:rsid w:val="00243D42"/>
    <w:rsid w:val="002447AE"/>
    <w:rsid w:val="00244F58"/>
    <w:rsid w:val="002535D3"/>
    <w:rsid w:val="00254201"/>
    <w:rsid w:val="00257774"/>
    <w:rsid w:val="00257E01"/>
    <w:rsid w:val="00260E2D"/>
    <w:rsid w:val="002627C2"/>
    <w:rsid w:val="0026536E"/>
    <w:rsid w:val="00265880"/>
    <w:rsid w:val="00266A81"/>
    <w:rsid w:val="00267083"/>
    <w:rsid w:val="00270737"/>
    <w:rsid w:val="002722EE"/>
    <w:rsid w:val="00273446"/>
    <w:rsid w:val="00273805"/>
    <w:rsid w:val="00273C65"/>
    <w:rsid w:val="00274C71"/>
    <w:rsid w:val="00275389"/>
    <w:rsid w:val="002763AB"/>
    <w:rsid w:val="0028149F"/>
    <w:rsid w:val="0028185B"/>
    <w:rsid w:val="00283D09"/>
    <w:rsid w:val="002855C6"/>
    <w:rsid w:val="0028631E"/>
    <w:rsid w:val="00287F8B"/>
    <w:rsid w:val="002914CF"/>
    <w:rsid w:val="0029186D"/>
    <w:rsid w:val="00291F90"/>
    <w:rsid w:val="00294A74"/>
    <w:rsid w:val="00294EF1"/>
    <w:rsid w:val="002A326F"/>
    <w:rsid w:val="002A57AD"/>
    <w:rsid w:val="002A6B25"/>
    <w:rsid w:val="002A7CD1"/>
    <w:rsid w:val="002B0520"/>
    <w:rsid w:val="002B1C83"/>
    <w:rsid w:val="002B51B0"/>
    <w:rsid w:val="002B776F"/>
    <w:rsid w:val="002C0599"/>
    <w:rsid w:val="002C1F6F"/>
    <w:rsid w:val="002C2F99"/>
    <w:rsid w:val="002C40A9"/>
    <w:rsid w:val="002C4A45"/>
    <w:rsid w:val="002C6114"/>
    <w:rsid w:val="002C7AA5"/>
    <w:rsid w:val="002D0053"/>
    <w:rsid w:val="002D259E"/>
    <w:rsid w:val="002D2960"/>
    <w:rsid w:val="002D29E1"/>
    <w:rsid w:val="002D3CE7"/>
    <w:rsid w:val="002D6200"/>
    <w:rsid w:val="002D637D"/>
    <w:rsid w:val="002D747A"/>
    <w:rsid w:val="002D74E4"/>
    <w:rsid w:val="002E1587"/>
    <w:rsid w:val="002E44DE"/>
    <w:rsid w:val="002E5FA5"/>
    <w:rsid w:val="002E610E"/>
    <w:rsid w:val="002F36D1"/>
    <w:rsid w:val="002F37DF"/>
    <w:rsid w:val="002F4B61"/>
    <w:rsid w:val="00302121"/>
    <w:rsid w:val="00302ECF"/>
    <w:rsid w:val="00304411"/>
    <w:rsid w:val="003058F3"/>
    <w:rsid w:val="00305DC9"/>
    <w:rsid w:val="00310910"/>
    <w:rsid w:val="00312038"/>
    <w:rsid w:val="00317FE5"/>
    <w:rsid w:val="00321CA5"/>
    <w:rsid w:val="00321EE3"/>
    <w:rsid w:val="00323B91"/>
    <w:rsid w:val="00323E3A"/>
    <w:rsid w:val="00324201"/>
    <w:rsid w:val="00333DC1"/>
    <w:rsid w:val="00335206"/>
    <w:rsid w:val="003373D2"/>
    <w:rsid w:val="00340487"/>
    <w:rsid w:val="003412B0"/>
    <w:rsid w:val="003466CE"/>
    <w:rsid w:val="00347AA5"/>
    <w:rsid w:val="0035106F"/>
    <w:rsid w:val="00351441"/>
    <w:rsid w:val="00351A01"/>
    <w:rsid w:val="00354130"/>
    <w:rsid w:val="00361C4C"/>
    <w:rsid w:val="00361EA7"/>
    <w:rsid w:val="00363077"/>
    <w:rsid w:val="00363E45"/>
    <w:rsid w:val="00371CC0"/>
    <w:rsid w:val="00373A8C"/>
    <w:rsid w:val="0037460C"/>
    <w:rsid w:val="003756ED"/>
    <w:rsid w:val="003802BE"/>
    <w:rsid w:val="00381FC3"/>
    <w:rsid w:val="0038358D"/>
    <w:rsid w:val="0038510C"/>
    <w:rsid w:val="00385FEA"/>
    <w:rsid w:val="00386E3D"/>
    <w:rsid w:val="0038775A"/>
    <w:rsid w:val="00387F96"/>
    <w:rsid w:val="00393D0F"/>
    <w:rsid w:val="00394480"/>
    <w:rsid w:val="00397802"/>
    <w:rsid w:val="003978FA"/>
    <w:rsid w:val="003A1D5C"/>
    <w:rsid w:val="003A32B7"/>
    <w:rsid w:val="003A3DDD"/>
    <w:rsid w:val="003A4D47"/>
    <w:rsid w:val="003A6C28"/>
    <w:rsid w:val="003A6E49"/>
    <w:rsid w:val="003B0DEE"/>
    <w:rsid w:val="003B0FC8"/>
    <w:rsid w:val="003B19CF"/>
    <w:rsid w:val="003B630B"/>
    <w:rsid w:val="003B76AA"/>
    <w:rsid w:val="003C16A1"/>
    <w:rsid w:val="003C4257"/>
    <w:rsid w:val="003C493D"/>
    <w:rsid w:val="003C7A8B"/>
    <w:rsid w:val="003D2936"/>
    <w:rsid w:val="003D66D0"/>
    <w:rsid w:val="003E0ABB"/>
    <w:rsid w:val="003E44CC"/>
    <w:rsid w:val="003E62CF"/>
    <w:rsid w:val="003E6A35"/>
    <w:rsid w:val="003F14CE"/>
    <w:rsid w:val="003F1653"/>
    <w:rsid w:val="003F236E"/>
    <w:rsid w:val="003F3579"/>
    <w:rsid w:val="003F3A25"/>
    <w:rsid w:val="003F4D5D"/>
    <w:rsid w:val="003F618D"/>
    <w:rsid w:val="003F67C2"/>
    <w:rsid w:val="003F7DE8"/>
    <w:rsid w:val="00401941"/>
    <w:rsid w:val="00404590"/>
    <w:rsid w:val="004062C9"/>
    <w:rsid w:val="00406CC5"/>
    <w:rsid w:val="00407F35"/>
    <w:rsid w:val="004112FF"/>
    <w:rsid w:val="00412A85"/>
    <w:rsid w:val="00416E09"/>
    <w:rsid w:val="00417A09"/>
    <w:rsid w:val="004228CD"/>
    <w:rsid w:val="00422C04"/>
    <w:rsid w:val="00425BB3"/>
    <w:rsid w:val="00427E13"/>
    <w:rsid w:val="00432DA0"/>
    <w:rsid w:val="00433F6B"/>
    <w:rsid w:val="004368AF"/>
    <w:rsid w:val="00443B35"/>
    <w:rsid w:val="00443DD6"/>
    <w:rsid w:val="00443EAF"/>
    <w:rsid w:val="004468E8"/>
    <w:rsid w:val="004469BA"/>
    <w:rsid w:val="00452A3E"/>
    <w:rsid w:val="004536DF"/>
    <w:rsid w:val="004552E9"/>
    <w:rsid w:val="00455A68"/>
    <w:rsid w:val="004566B2"/>
    <w:rsid w:val="00460A60"/>
    <w:rsid w:val="00462B37"/>
    <w:rsid w:val="00462FAA"/>
    <w:rsid w:val="00466DC6"/>
    <w:rsid w:val="00471497"/>
    <w:rsid w:val="00472713"/>
    <w:rsid w:val="004734CB"/>
    <w:rsid w:val="00473B2D"/>
    <w:rsid w:val="00474B0B"/>
    <w:rsid w:val="00480AFA"/>
    <w:rsid w:val="00483F7F"/>
    <w:rsid w:val="00484A96"/>
    <w:rsid w:val="00487517"/>
    <w:rsid w:val="00487A08"/>
    <w:rsid w:val="004906F4"/>
    <w:rsid w:val="0049075C"/>
    <w:rsid w:val="00491A82"/>
    <w:rsid w:val="00492FCC"/>
    <w:rsid w:val="00494AAA"/>
    <w:rsid w:val="00497C45"/>
    <w:rsid w:val="004A587A"/>
    <w:rsid w:val="004A6B8B"/>
    <w:rsid w:val="004B1A70"/>
    <w:rsid w:val="004B1C5D"/>
    <w:rsid w:val="004B205A"/>
    <w:rsid w:val="004B2510"/>
    <w:rsid w:val="004B37CF"/>
    <w:rsid w:val="004B50EA"/>
    <w:rsid w:val="004B7099"/>
    <w:rsid w:val="004C07C8"/>
    <w:rsid w:val="004C1F60"/>
    <w:rsid w:val="004C2B0F"/>
    <w:rsid w:val="004C348D"/>
    <w:rsid w:val="004C49CC"/>
    <w:rsid w:val="004C5D84"/>
    <w:rsid w:val="004C5E59"/>
    <w:rsid w:val="004D7EA5"/>
    <w:rsid w:val="004E060E"/>
    <w:rsid w:val="004E2EA0"/>
    <w:rsid w:val="004E3C4D"/>
    <w:rsid w:val="004E464E"/>
    <w:rsid w:val="004E4A92"/>
    <w:rsid w:val="004E6823"/>
    <w:rsid w:val="004F1E27"/>
    <w:rsid w:val="004F4E41"/>
    <w:rsid w:val="004F5223"/>
    <w:rsid w:val="00501474"/>
    <w:rsid w:val="00502B6E"/>
    <w:rsid w:val="00505DA9"/>
    <w:rsid w:val="005067BC"/>
    <w:rsid w:val="00506849"/>
    <w:rsid w:val="0050697B"/>
    <w:rsid w:val="00507D32"/>
    <w:rsid w:val="00510F3C"/>
    <w:rsid w:val="005121BE"/>
    <w:rsid w:val="00512503"/>
    <w:rsid w:val="00512A7D"/>
    <w:rsid w:val="00512E0E"/>
    <w:rsid w:val="00513E3C"/>
    <w:rsid w:val="00514473"/>
    <w:rsid w:val="00515CE7"/>
    <w:rsid w:val="005172AA"/>
    <w:rsid w:val="00520CC7"/>
    <w:rsid w:val="00525C39"/>
    <w:rsid w:val="0052674F"/>
    <w:rsid w:val="005273AC"/>
    <w:rsid w:val="00527606"/>
    <w:rsid w:val="00527CBC"/>
    <w:rsid w:val="00530357"/>
    <w:rsid w:val="00532B4D"/>
    <w:rsid w:val="00536D20"/>
    <w:rsid w:val="0054115D"/>
    <w:rsid w:val="00544D0A"/>
    <w:rsid w:val="005457BB"/>
    <w:rsid w:val="00547AFD"/>
    <w:rsid w:val="00550F0B"/>
    <w:rsid w:val="005517E9"/>
    <w:rsid w:val="00552A70"/>
    <w:rsid w:val="005531D3"/>
    <w:rsid w:val="00554322"/>
    <w:rsid w:val="005552AC"/>
    <w:rsid w:val="0055778E"/>
    <w:rsid w:val="0056192D"/>
    <w:rsid w:val="00565CDB"/>
    <w:rsid w:val="00567459"/>
    <w:rsid w:val="00567FC5"/>
    <w:rsid w:val="005717BA"/>
    <w:rsid w:val="0057227D"/>
    <w:rsid w:val="005732BF"/>
    <w:rsid w:val="005733A2"/>
    <w:rsid w:val="005757BD"/>
    <w:rsid w:val="00576761"/>
    <w:rsid w:val="00585117"/>
    <w:rsid w:val="00586628"/>
    <w:rsid w:val="005868DE"/>
    <w:rsid w:val="005945C6"/>
    <w:rsid w:val="00596A0F"/>
    <w:rsid w:val="00597155"/>
    <w:rsid w:val="005971FE"/>
    <w:rsid w:val="005A0EDD"/>
    <w:rsid w:val="005A51C4"/>
    <w:rsid w:val="005A5268"/>
    <w:rsid w:val="005A62EC"/>
    <w:rsid w:val="005B36B0"/>
    <w:rsid w:val="005B3FE2"/>
    <w:rsid w:val="005B52A5"/>
    <w:rsid w:val="005B6675"/>
    <w:rsid w:val="005B67A3"/>
    <w:rsid w:val="005B7912"/>
    <w:rsid w:val="005C0D13"/>
    <w:rsid w:val="005C2117"/>
    <w:rsid w:val="005C365B"/>
    <w:rsid w:val="005C6FBD"/>
    <w:rsid w:val="005C755D"/>
    <w:rsid w:val="005D1145"/>
    <w:rsid w:val="005D1B59"/>
    <w:rsid w:val="005D1E94"/>
    <w:rsid w:val="005D2341"/>
    <w:rsid w:val="005D29DC"/>
    <w:rsid w:val="005D533A"/>
    <w:rsid w:val="005D53FB"/>
    <w:rsid w:val="005D725A"/>
    <w:rsid w:val="005D785F"/>
    <w:rsid w:val="005E106D"/>
    <w:rsid w:val="005E18F2"/>
    <w:rsid w:val="005E1C46"/>
    <w:rsid w:val="005E389A"/>
    <w:rsid w:val="005E4345"/>
    <w:rsid w:val="005E45BD"/>
    <w:rsid w:val="005F0CC6"/>
    <w:rsid w:val="005F21B4"/>
    <w:rsid w:val="006010DD"/>
    <w:rsid w:val="006019F5"/>
    <w:rsid w:val="00601FDA"/>
    <w:rsid w:val="00602101"/>
    <w:rsid w:val="00602988"/>
    <w:rsid w:val="00603C04"/>
    <w:rsid w:val="00606C8C"/>
    <w:rsid w:val="0060781C"/>
    <w:rsid w:val="006111A6"/>
    <w:rsid w:val="00612117"/>
    <w:rsid w:val="0061260B"/>
    <w:rsid w:val="00623758"/>
    <w:rsid w:val="006333F0"/>
    <w:rsid w:val="006342FF"/>
    <w:rsid w:val="006358C8"/>
    <w:rsid w:val="0064078C"/>
    <w:rsid w:val="00640E5C"/>
    <w:rsid w:val="00641D79"/>
    <w:rsid w:val="00641E73"/>
    <w:rsid w:val="00642C2E"/>
    <w:rsid w:val="0064335C"/>
    <w:rsid w:val="00643435"/>
    <w:rsid w:val="00650294"/>
    <w:rsid w:val="00650DE6"/>
    <w:rsid w:val="00651C6E"/>
    <w:rsid w:val="00651ECA"/>
    <w:rsid w:val="006542F4"/>
    <w:rsid w:val="00654EE4"/>
    <w:rsid w:val="0065520A"/>
    <w:rsid w:val="00657E86"/>
    <w:rsid w:val="006606DA"/>
    <w:rsid w:val="00660E37"/>
    <w:rsid w:val="00665A2D"/>
    <w:rsid w:val="00666E6D"/>
    <w:rsid w:val="00671C46"/>
    <w:rsid w:val="00671D90"/>
    <w:rsid w:val="00682006"/>
    <w:rsid w:val="00683772"/>
    <w:rsid w:val="00687B9F"/>
    <w:rsid w:val="00694692"/>
    <w:rsid w:val="006A3101"/>
    <w:rsid w:val="006A3371"/>
    <w:rsid w:val="006A3E8F"/>
    <w:rsid w:val="006B1106"/>
    <w:rsid w:val="006B27B3"/>
    <w:rsid w:val="006B286A"/>
    <w:rsid w:val="006B3238"/>
    <w:rsid w:val="006B3517"/>
    <w:rsid w:val="006B4136"/>
    <w:rsid w:val="006B4C61"/>
    <w:rsid w:val="006C1062"/>
    <w:rsid w:val="006C369C"/>
    <w:rsid w:val="006C408D"/>
    <w:rsid w:val="006D2B95"/>
    <w:rsid w:val="006D2E16"/>
    <w:rsid w:val="006D60E1"/>
    <w:rsid w:val="006E06F3"/>
    <w:rsid w:val="006E0FCB"/>
    <w:rsid w:val="006E12CB"/>
    <w:rsid w:val="006E1C4F"/>
    <w:rsid w:val="006E20E5"/>
    <w:rsid w:val="006E2D00"/>
    <w:rsid w:val="006E4409"/>
    <w:rsid w:val="006E63EA"/>
    <w:rsid w:val="006F0C68"/>
    <w:rsid w:val="006F11CA"/>
    <w:rsid w:val="006F2277"/>
    <w:rsid w:val="006F2777"/>
    <w:rsid w:val="006F662E"/>
    <w:rsid w:val="007019F1"/>
    <w:rsid w:val="00701E6B"/>
    <w:rsid w:val="007056B7"/>
    <w:rsid w:val="007061D2"/>
    <w:rsid w:val="007073BA"/>
    <w:rsid w:val="007076F2"/>
    <w:rsid w:val="00707F79"/>
    <w:rsid w:val="00711984"/>
    <w:rsid w:val="007119F9"/>
    <w:rsid w:val="00716ECA"/>
    <w:rsid w:val="00721653"/>
    <w:rsid w:val="00721882"/>
    <w:rsid w:val="00723096"/>
    <w:rsid w:val="00732F7E"/>
    <w:rsid w:val="00734E60"/>
    <w:rsid w:val="007368B4"/>
    <w:rsid w:val="007401DF"/>
    <w:rsid w:val="00740A8E"/>
    <w:rsid w:val="00740D4C"/>
    <w:rsid w:val="00741387"/>
    <w:rsid w:val="00741944"/>
    <w:rsid w:val="0074395A"/>
    <w:rsid w:val="00745C01"/>
    <w:rsid w:val="00747ACA"/>
    <w:rsid w:val="00750553"/>
    <w:rsid w:val="00754B67"/>
    <w:rsid w:val="00756DA1"/>
    <w:rsid w:val="007578AE"/>
    <w:rsid w:val="00757E0E"/>
    <w:rsid w:val="007615D6"/>
    <w:rsid w:val="00761614"/>
    <w:rsid w:val="00761702"/>
    <w:rsid w:val="00762FCC"/>
    <w:rsid w:val="007643CF"/>
    <w:rsid w:val="00766AC5"/>
    <w:rsid w:val="00767849"/>
    <w:rsid w:val="00767E25"/>
    <w:rsid w:val="007712C6"/>
    <w:rsid w:val="00771B1B"/>
    <w:rsid w:val="00773291"/>
    <w:rsid w:val="00774114"/>
    <w:rsid w:val="00774651"/>
    <w:rsid w:val="00780B99"/>
    <w:rsid w:val="007869B2"/>
    <w:rsid w:val="00787A73"/>
    <w:rsid w:val="00790CA4"/>
    <w:rsid w:val="007924C6"/>
    <w:rsid w:val="0079468C"/>
    <w:rsid w:val="007A194B"/>
    <w:rsid w:val="007A287C"/>
    <w:rsid w:val="007A3431"/>
    <w:rsid w:val="007A50E3"/>
    <w:rsid w:val="007A5938"/>
    <w:rsid w:val="007A67A0"/>
    <w:rsid w:val="007A6F63"/>
    <w:rsid w:val="007A7C99"/>
    <w:rsid w:val="007B0316"/>
    <w:rsid w:val="007B11B8"/>
    <w:rsid w:val="007B2000"/>
    <w:rsid w:val="007B2C64"/>
    <w:rsid w:val="007B4377"/>
    <w:rsid w:val="007B7ECA"/>
    <w:rsid w:val="007C3A52"/>
    <w:rsid w:val="007C6B85"/>
    <w:rsid w:val="007D227B"/>
    <w:rsid w:val="007D233A"/>
    <w:rsid w:val="007D5AA6"/>
    <w:rsid w:val="007E1E37"/>
    <w:rsid w:val="007E6C31"/>
    <w:rsid w:val="007E7E97"/>
    <w:rsid w:val="007F40E6"/>
    <w:rsid w:val="007F4F61"/>
    <w:rsid w:val="007F5DF8"/>
    <w:rsid w:val="007F7DC9"/>
    <w:rsid w:val="0080273A"/>
    <w:rsid w:val="0080412F"/>
    <w:rsid w:val="00805542"/>
    <w:rsid w:val="0081498E"/>
    <w:rsid w:val="00816355"/>
    <w:rsid w:val="008204E2"/>
    <w:rsid w:val="00820F4F"/>
    <w:rsid w:val="008234D3"/>
    <w:rsid w:val="008249A1"/>
    <w:rsid w:val="00831627"/>
    <w:rsid w:val="00833464"/>
    <w:rsid w:val="00844646"/>
    <w:rsid w:val="00844EB6"/>
    <w:rsid w:val="008462D0"/>
    <w:rsid w:val="008470CA"/>
    <w:rsid w:val="0084786C"/>
    <w:rsid w:val="00850221"/>
    <w:rsid w:val="0085327D"/>
    <w:rsid w:val="008572A8"/>
    <w:rsid w:val="008602DE"/>
    <w:rsid w:val="00860FBD"/>
    <w:rsid w:val="00861D6D"/>
    <w:rsid w:val="00863217"/>
    <w:rsid w:val="00863A28"/>
    <w:rsid w:val="00866E8D"/>
    <w:rsid w:val="008706A5"/>
    <w:rsid w:val="00871608"/>
    <w:rsid w:val="008722A6"/>
    <w:rsid w:val="00873BCD"/>
    <w:rsid w:val="00874CA6"/>
    <w:rsid w:val="00875380"/>
    <w:rsid w:val="00875E63"/>
    <w:rsid w:val="00875FBC"/>
    <w:rsid w:val="008772D0"/>
    <w:rsid w:val="00880771"/>
    <w:rsid w:val="00880FB8"/>
    <w:rsid w:val="008814E6"/>
    <w:rsid w:val="008860CA"/>
    <w:rsid w:val="008903E5"/>
    <w:rsid w:val="00891B88"/>
    <w:rsid w:val="0089282A"/>
    <w:rsid w:val="008928DC"/>
    <w:rsid w:val="00892CEE"/>
    <w:rsid w:val="008945D0"/>
    <w:rsid w:val="00895B0F"/>
    <w:rsid w:val="008A0FA6"/>
    <w:rsid w:val="008A1CF6"/>
    <w:rsid w:val="008A40EA"/>
    <w:rsid w:val="008A47C0"/>
    <w:rsid w:val="008A4867"/>
    <w:rsid w:val="008A6D80"/>
    <w:rsid w:val="008A74A2"/>
    <w:rsid w:val="008B7E78"/>
    <w:rsid w:val="008C2338"/>
    <w:rsid w:val="008C2B16"/>
    <w:rsid w:val="008C439B"/>
    <w:rsid w:val="008C7B61"/>
    <w:rsid w:val="008D1AC8"/>
    <w:rsid w:val="008D2697"/>
    <w:rsid w:val="008D6197"/>
    <w:rsid w:val="008D6986"/>
    <w:rsid w:val="008D781B"/>
    <w:rsid w:val="008E0C22"/>
    <w:rsid w:val="008E1050"/>
    <w:rsid w:val="008E186D"/>
    <w:rsid w:val="008E2966"/>
    <w:rsid w:val="008E2CAE"/>
    <w:rsid w:val="008E5D0A"/>
    <w:rsid w:val="008E7343"/>
    <w:rsid w:val="008F2538"/>
    <w:rsid w:val="008F2C37"/>
    <w:rsid w:val="008F6210"/>
    <w:rsid w:val="008F6226"/>
    <w:rsid w:val="008F6B1A"/>
    <w:rsid w:val="00900A2E"/>
    <w:rsid w:val="00901A8C"/>
    <w:rsid w:val="0090359C"/>
    <w:rsid w:val="009037ED"/>
    <w:rsid w:val="00905EBF"/>
    <w:rsid w:val="009070FD"/>
    <w:rsid w:val="00911635"/>
    <w:rsid w:val="009167DA"/>
    <w:rsid w:val="00916AD7"/>
    <w:rsid w:val="00916EB7"/>
    <w:rsid w:val="00920971"/>
    <w:rsid w:val="00920A5A"/>
    <w:rsid w:val="00921345"/>
    <w:rsid w:val="0092153E"/>
    <w:rsid w:val="0092323E"/>
    <w:rsid w:val="009232CD"/>
    <w:rsid w:val="009272F3"/>
    <w:rsid w:val="0092755C"/>
    <w:rsid w:val="009279AA"/>
    <w:rsid w:val="00930A3C"/>
    <w:rsid w:val="00931BF5"/>
    <w:rsid w:val="00932B0E"/>
    <w:rsid w:val="00934D95"/>
    <w:rsid w:val="00935987"/>
    <w:rsid w:val="0094010B"/>
    <w:rsid w:val="0094303A"/>
    <w:rsid w:val="00943B0C"/>
    <w:rsid w:val="00945401"/>
    <w:rsid w:val="00945581"/>
    <w:rsid w:val="00951E8C"/>
    <w:rsid w:val="00957422"/>
    <w:rsid w:val="00957B4B"/>
    <w:rsid w:val="00960E96"/>
    <w:rsid w:val="0096167D"/>
    <w:rsid w:val="00961999"/>
    <w:rsid w:val="0096220D"/>
    <w:rsid w:val="00962C5D"/>
    <w:rsid w:val="00964063"/>
    <w:rsid w:val="0096429D"/>
    <w:rsid w:val="00964853"/>
    <w:rsid w:val="00964D87"/>
    <w:rsid w:val="0096560E"/>
    <w:rsid w:val="009661ED"/>
    <w:rsid w:val="0097142E"/>
    <w:rsid w:val="00973401"/>
    <w:rsid w:val="00973BA1"/>
    <w:rsid w:val="00973ED1"/>
    <w:rsid w:val="009749A0"/>
    <w:rsid w:val="009750BD"/>
    <w:rsid w:val="009755A4"/>
    <w:rsid w:val="0098488B"/>
    <w:rsid w:val="0098637E"/>
    <w:rsid w:val="00986BB8"/>
    <w:rsid w:val="009877CF"/>
    <w:rsid w:val="009877F3"/>
    <w:rsid w:val="00991239"/>
    <w:rsid w:val="00992E97"/>
    <w:rsid w:val="0099353C"/>
    <w:rsid w:val="009A273E"/>
    <w:rsid w:val="009A2DDD"/>
    <w:rsid w:val="009A3099"/>
    <w:rsid w:val="009A34A3"/>
    <w:rsid w:val="009A56A1"/>
    <w:rsid w:val="009A67DA"/>
    <w:rsid w:val="009A76B0"/>
    <w:rsid w:val="009B2F99"/>
    <w:rsid w:val="009C0D43"/>
    <w:rsid w:val="009C201C"/>
    <w:rsid w:val="009C35DA"/>
    <w:rsid w:val="009C37A2"/>
    <w:rsid w:val="009C5B54"/>
    <w:rsid w:val="009C63E3"/>
    <w:rsid w:val="009D2F71"/>
    <w:rsid w:val="009D5A91"/>
    <w:rsid w:val="009D737D"/>
    <w:rsid w:val="009E03AB"/>
    <w:rsid w:val="009E292D"/>
    <w:rsid w:val="009E3EC7"/>
    <w:rsid w:val="009E749C"/>
    <w:rsid w:val="009F0A04"/>
    <w:rsid w:val="009F28E4"/>
    <w:rsid w:val="009F325A"/>
    <w:rsid w:val="009F72AE"/>
    <w:rsid w:val="00A00ABB"/>
    <w:rsid w:val="00A00E24"/>
    <w:rsid w:val="00A03372"/>
    <w:rsid w:val="00A04F2E"/>
    <w:rsid w:val="00A052DF"/>
    <w:rsid w:val="00A13D77"/>
    <w:rsid w:val="00A14798"/>
    <w:rsid w:val="00A17819"/>
    <w:rsid w:val="00A21799"/>
    <w:rsid w:val="00A2287B"/>
    <w:rsid w:val="00A25957"/>
    <w:rsid w:val="00A25C60"/>
    <w:rsid w:val="00A26716"/>
    <w:rsid w:val="00A31A79"/>
    <w:rsid w:val="00A3466B"/>
    <w:rsid w:val="00A34808"/>
    <w:rsid w:val="00A420DB"/>
    <w:rsid w:val="00A426CD"/>
    <w:rsid w:val="00A43D53"/>
    <w:rsid w:val="00A45AC7"/>
    <w:rsid w:val="00A477D4"/>
    <w:rsid w:val="00A47B19"/>
    <w:rsid w:val="00A50A33"/>
    <w:rsid w:val="00A528B0"/>
    <w:rsid w:val="00A52DF4"/>
    <w:rsid w:val="00A53AD8"/>
    <w:rsid w:val="00A53E54"/>
    <w:rsid w:val="00A5585C"/>
    <w:rsid w:val="00A56B1C"/>
    <w:rsid w:val="00A62F09"/>
    <w:rsid w:val="00A62F4A"/>
    <w:rsid w:val="00A71AB4"/>
    <w:rsid w:val="00A71C7B"/>
    <w:rsid w:val="00A7440E"/>
    <w:rsid w:val="00A74EFD"/>
    <w:rsid w:val="00A76655"/>
    <w:rsid w:val="00A80E0F"/>
    <w:rsid w:val="00A80FA4"/>
    <w:rsid w:val="00A839F3"/>
    <w:rsid w:val="00A85A74"/>
    <w:rsid w:val="00A86421"/>
    <w:rsid w:val="00A87D53"/>
    <w:rsid w:val="00A90AB8"/>
    <w:rsid w:val="00A92042"/>
    <w:rsid w:val="00A92854"/>
    <w:rsid w:val="00A9529B"/>
    <w:rsid w:val="00A9567F"/>
    <w:rsid w:val="00A96DC5"/>
    <w:rsid w:val="00AA056B"/>
    <w:rsid w:val="00AA45AD"/>
    <w:rsid w:val="00AA49B0"/>
    <w:rsid w:val="00AA5D65"/>
    <w:rsid w:val="00AA67DB"/>
    <w:rsid w:val="00AA7DAC"/>
    <w:rsid w:val="00AB1848"/>
    <w:rsid w:val="00AB3646"/>
    <w:rsid w:val="00AC5560"/>
    <w:rsid w:val="00AC69ED"/>
    <w:rsid w:val="00AD3143"/>
    <w:rsid w:val="00AD60BF"/>
    <w:rsid w:val="00AE21A7"/>
    <w:rsid w:val="00AE2C46"/>
    <w:rsid w:val="00AE48B7"/>
    <w:rsid w:val="00AE6B41"/>
    <w:rsid w:val="00AF0CD2"/>
    <w:rsid w:val="00AF1220"/>
    <w:rsid w:val="00AF1ABE"/>
    <w:rsid w:val="00AF6A16"/>
    <w:rsid w:val="00B03144"/>
    <w:rsid w:val="00B043B6"/>
    <w:rsid w:val="00B055A9"/>
    <w:rsid w:val="00B07659"/>
    <w:rsid w:val="00B10271"/>
    <w:rsid w:val="00B120F1"/>
    <w:rsid w:val="00B1275A"/>
    <w:rsid w:val="00B14B03"/>
    <w:rsid w:val="00B14D85"/>
    <w:rsid w:val="00B167B4"/>
    <w:rsid w:val="00B16DDE"/>
    <w:rsid w:val="00B1707C"/>
    <w:rsid w:val="00B17355"/>
    <w:rsid w:val="00B20B6F"/>
    <w:rsid w:val="00B23A9D"/>
    <w:rsid w:val="00B263BC"/>
    <w:rsid w:val="00B269A4"/>
    <w:rsid w:val="00B27D0D"/>
    <w:rsid w:val="00B27EF3"/>
    <w:rsid w:val="00B30C59"/>
    <w:rsid w:val="00B30D2F"/>
    <w:rsid w:val="00B30EC3"/>
    <w:rsid w:val="00B31F1A"/>
    <w:rsid w:val="00B3478A"/>
    <w:rsid w:val="00B34A4F"/>
    <w:rsid w:val="00B37746"/>
    <w:rsid w:val="00B427B8"/>
    <w:rsid w:val="00B43C08"/>
    <w:rsid w:val="00B4608D"/>
    <w:rsid w:val="00B52AF2"/>
    <w:rsid w:val="00B53E53"/>
    <w:rsid w:val="00B56263"/>
    <w:rsid w:val="00B613C3"/>
    <w:rsid w:val="00B621A1"/>
    <w:rsid w:val="00B72CBA"/>
    <w:rsid w:val="00B7304A"/>
    <w:rsid w:val="00B746D1"/>
    <w:rsid w:val="00B7563B"/>
    <w:rsid w:val="00B8139E"/>
    <w:rsid w:val="00B81770"/>
    <w:rsid w:val="00B8290E"/>
    <w:rsid w:val="00B837E0"/>
    <w:rsid w:val="00B84700"/>
    <w:rsid w:val="00B84DF3"/>
    <w:rsid w:val="00B85237"/>
    <w:rsid w:val="00B85B45"/>
    <w:rsid w:val="00B860B9"/>
    <w:rsid w:val="00B8660F"/>
    <w:rsid w:val="00B866D4"/>
    <w:rsid w:val="00B869CE"/>
    <w:rsid w:val="00B87B59"/>
    <w:rsid w:val="00BA13A1"/>
    <w:rsid w:val="00BA2688"/>
    <w:rsid w:val="00BA26D0"/>
    <w:rsid w:val="00BA34C6"/>
    <w:rsid w:val="00BA35B1"/>
    <w:rsid w:val="00BA4B08"/>
    <w:rsid w:val="00BB25E0"/>
    <w:rsid w:val="00BB32E5"/>
    <w:rsid w:val="00BB567C"/>
    <w:rsid w:val="00BC0099"/>
    <w:rsid w:val="00BC3A13"/>
    <w:rsid w:val="00BC40BB"/>
    <w:rsid w:val="00BD03D1"/>
    <w:rsid w:val="00BD3DE7"/>
    <w:rsid w:val="00BD4977"/>
    <w:rsid w:val="00BD4F23"/>
    <w:rsid w:val="00BD6F0F"/>
    <w:rsid w:val="00BE0D36"/>
    <w:rsid w:val="00BE1FB6"/>
    <w:rsid w:val="00BE2400"/>
    <w:rsid w:val="00BE3C84"/>
    <w:rsid w:val="00BE3DF1"/>
    <w:rsid w:val="00BE4063"/>
    <w:rsid w:val="00BE4C95"/>
    <w:rsid w:val="00BE7252"/>
    <w:rsid w:val="00BE79B4"/>
    <w:rsid w:val="00BF049B"/>
    <w:rsid w:val="00BF6EFD"/>
    <w:rsid w:val="00C019D8"/>
    <w:rsid w:val="00C055B0"/>
    <w:rsid w:val="00C06D46"/>
    <w:rsid w:val="00C108AD"/>
    <w:rsid w:val="00C136DA"/>
    <w:rsid w:val="00C161A0"/>
    <w:rsid w:val="00C16B7D"/>
    <w:rsid w:val="00C2060F"/>
    <w:rsid w:val="00C21D64"/>
    <w:rsid w:val="00C21FF3"/>
    <w:rsid w:val="00C238B3"/>
    <w:rsid w:val="00C23906"/>
    <w:rsid w:val="00C23EC2"/>
    <w:rsid w:val="00C3015A"/>
    <w:rsid w:val="00C335B2"/>
    <w:rsid w:val="00C34361"/>
    <w:rsid w:val="00C352F9"/>
    <w:rsid w:val="00C35A57"/>
    <w:rsid w:val="00C36337"/>
    <w:rsid w:val="00C37AAF"/>
    <w:rsid w:val="00C4053F"/>
    <w:rsid w:val="00C40E30"/>
    <w:rsid w:val="00C42238"/>
    <w:rsid w:val="00C4564B"/>
    <w:rsid w:val="00C463F0"/>
    <w:rsid w:val="00C505C2"/>
    <w:rsid w:val="00C50C31"/>
    <w:rsid w:val="00C53642"/>
    <w:rsid w:val="00C547B6"/>
    <w:rsid w:val="00C54A0D"/>
    <w:rsid w:val="00C575A8"/>
    <w:rsid w:val="00C648B3"/>
    <w:rsid w:val="00C65F89"/>
    <w:rsid w:val="00C6740C"/>
    <w:rsid w:val="00C700BB"/>
    <w:rsid w:val="00C70FFA"/>
    <w:rsid w:val="00C76884"/>
    <w:rsid w:val="00C76C55"/>
    <w:rsid w:val="00C779B3"/>
    <w:rsid w:val="00C83F14"/>
    <w:rsid w:val="00C84A8A"/>
    <w:rsid w:val="00C8636F"/>
    <w:rsid w:val="00C9045C"/>
    <w:rsid w:val="00C918E0"/>
    <w:rsid w:val="00C9208E"/>
    <w:rsid w:val="00C92798"/>
    <w:rsid w:val="00C96DC9"/>
    <w:rsid w:val="00C97486"/>
    <w:rsid w:val="00CA347C"/>
    <w:rsid w:val="00CA5BEC"/>
    <w:rsid w:val="00CB13A2"/>
    <w:rsid w:val="00CB44EC"/>
    <w:rsid w:val="00CC037A"/>
    <w:rsid w:val="00CC2D99"/>
    <w:rsid w:val="00CC4204"/>
    <w:rsid w:val="00CD1416"/>
    <w:rsid w:val="00CD1C29"/>
    <w:rsid w:val="00CD34AD"/>
    <w:rsid w:val="00CD4C5E"/>
    <w:rsid w:val="00CD5507"/>
    <w:rsid w:val="00CD67D4"/>
    <w:rsid w:val="00CD6C5F"/>
    <w:rsid w:val="00CE17F1"/>
    <w:rsid w:val="00CE274D"/>
    <w:rsid w:val="00CE4A3E"/>
    <w:rsid w:val="00CE6E37"/>
    <w:rsid w:val="00CE713C"/>
    <w:rsid w:val="00CF338F"/>
    <w:rsid w:val="00CF43F6"/>
    <w:rsid w:val="00CF540E"/>
    <w:rsid w:val="00CF79C9"/>
    <w:rsid w:val="00D07B0B"/>
    <w:rsid w:val="00D15EF2"/>
    <w:rsid w:val="00D1705C"/>
    <w:rsid w:val="00D2158B"/>
    <w:rsid w:val="00D223D6"/>
    <w:rsid w:val="00D22A3C"/>
    <w:rsid w:val="00D23492"/>
    <w:rsid w:val="00D235CD"/>
    <w:rsid w:val="00D25BAC"/>
    <w:rsid w:val="00D26DE7"/>
    <w:rsid w:val="00D321E3"/>
    <w:rsid w:val="00D33A36"/>
    <w:rsid w:val="00D42167"/>
    <w:rsid w:val="00D4389C"/>
    <w:rsid w:val="00D4735B"/>
    <w:rsid w:val="00D51F48"/>
    <w:rsid w:val="00D55D93"/>
    <w:rsid w:val="00D620A8"/>
    <w:rsid w:val="00D62A70"/>
    <w:rsid w:val="00D65DBB"/>
    <w:rsid w:val="00D65EFB"/>
    <w:rsid w:val="00D6682C"/>
    <w:rsid w:val="00D72860"/>
    <w:rsid w:val="00D7416A"/>
    <w:rsid w:val="00D758EC"/>
    <w:rsid w:val="00D75CFB"/>
    <w:rsid w:val="00D774B8"/>
    <w:rsid w:val="00D77AFD"/>
    <w:rsid w:val="00D80EA9"/>
    <w:rsid w:val="00D8481B"/>
    <w:rsid w:val="00D86E2E"/>
    <w:rsid w:val="00D8759B"/>
    <w:rsid w:val="00D90DBC"/>
    <w:rsid w:val="00D94862"/>
    <w:rsid w:val="00D95324"/>
    <w:rsid w:val="00D962FA"/>
    <w:rsid w:val="00D97072"/>
    <w:rsid w:val="00D97167"/>
    <w:rsid w:val="00DA08A5"/>
    <w:rsid w:val="00DA462A"/>
    <w:rsid w:val="00DB01FF"/>
    <w:rsid w:val="00DB2EF1"/>
    <w:rsid w:val="00DB54EC"/>
    <w:rsid w:val="00DB5C36"/>
    <w:rsid w:val="00DB64D3"/>
    <w:rsid w:val="00DB6AB9"/>
    <w:rsid w:val="00DC0325"/>
    <w:rsid w:val="00DC0610"/>
    <w:rsid w:val="00DC29EA"/>
    <w:rsid w:val="00DC4A05"/>
    <w:rsid w:val="00DC4E02"/>
    <w:rsid w:val="00DC5229"/>
    <w:rsid w:val="00DC5980"/>
    <w:rsid w:val="00DD0836"/>
    <w:rsid w:val="00DD1859"/>
    <w:rsid w:val="00DD4472"/>
    <w:rsid w:val="00DE0B1A"/>
    <w:rsid w:val="00DE2554"/>
    <w:rsid w:val="00DE4F51"/>
    <w:rsid w:val="00DE7EB1"/>
    <w:rsid w:val="00DF1B56"/>
    <w:rsid w:val="00DF26AD"/>
    <w:rsid w:val="00DF28DE"/>
    <w:rsid w:val="00DF628C"/>
    <w:rsid w:val="00E00103"/>
    <w:rsid w:val="00E0011A"/>
    <w:rsid w:val="00E00F66"/>
    <w:rsid w:val="00E016F1"/>
    <w:rsid w:val="00E02737"/>
    <w:rsid w:val="00E04D40"/>
    <w:rsid w:val="00E10F17"/>
    <w:rsid w:val="00E1158A"/>
    <w:rsid w:val="00E142DC"/>
    <w:rsid w:val="00E1576C"/>
    <w:rsid w:val="00E15E08"/>
    <w:rsid w:val="00E17AED"/>
    <w:rsid w:val="00E20386"/>
    <w:rsid w:val="00E23329"/>
    <w:rsid w:val="00E23408"/>
    <w:rsid w:val="00E238CE"/>
    <w:rsid w:val="00E25BD1"/>
    <w:rsid w:val="00E31012"/>
    <w:rsid w:val="00E310DE"/>
    <w:rsid w:val="00E315CE"/>
    <w:rsid w:val="00E359D7"/>
    <w:rsid w:val="00E36DE1"/>
    <w:rsid w:val="00E45F2B"/>
    <w:rsid w:val="00E46EE3"/>
    <w:rsid w:val="00E51D70"/>
    <w:rsid w:val="00E5243F"/>
    <w:rsid w:val="00E54E09"/>
    <w:rsid w:val="00E57701"/>
    <w:rsid w:val="00E57FAA"/>
    <w:rsid w:val="00E61AD2"/>
    <w:rsid w:val="00E636F0"/>
    <w:rsid w:val="00E63F0D"/>
    <w:rsid w:val="00E645BF"/>
    <w:rsid w:val="00E662D2"/>
    <w:rsid w:val="00E670DF"/>
    <w:rsid w:val="00E70FA4"/>
    <w:rsid w:val="00E75FA3"/>
    <w:rsid w:val="00E76B2D"/>
    <w:rsid w:val="00E80587"/>
    <w:rsid w:val="00E809EC"/>
    <w:rsid w:val="00E82885"/>
    <w:rsid w:val="00E83231"/>
    <w:rsid w:val="00E83D24"/>
    <w:rsid w:val="00E848F9"/>
    <w:rsid w:val="00E84E57"/>
    <w:rsid w:val="00E9519F"/>
    <w:rsid w:val="00E96B53"/>
    <w:rsid w:val="00E97338"/>
    <w:rsid w:val="00EA0422"/>
    <w:rsid w:val="00EA1283"/>
    <w:rsid w:val="00EA12DF"/>
    <w:rsid w:val="00EA1D0D"/>
    <w:rsid w:val="00EA2323"/>
    <w:rsid w:val="00EA2A08"/>
    <w:rsid w:val="00EA4856"/>
    <w:rsid w:val="00EA4F1B"/>
    <w:rsid w:val="00EA67F3"/>
    <w:rsid w:val="00EA6A73"/>
    <w:rsid w:val="00EA730C"/>
    <w:rsid w:val="00EA7B17"/>
    <w:rsid w:val="00EB37E8"/>
    <w:rsid w:val="00EC1CC3"/>
    <w:rsid w:val="00EC204A"/>
    <w:rsid w:val="00EC29AC"/>
    <w:rsid w:val="00EC762E"/>
    <w:rsid w:val="00ED07E7"/>
    <w:rsid w:val="00ED0C2A"/>
    <w:rsid w:val="00ED2B20"/>
    <w:rsid w:val="00ED4C6E"/>
    <w:rsid w:val="00ED5730"/>
    <w:rsid w:val="00ED6077"/>
    <w:rsid w:val="00EE1BB4"/>
    <w:rsid w:val="00EE4124"/>
    <w:rsid w:val="00EE48A8"/>
    <w:rsid w:val="00EE6AF9"/>
    <w:rsid w:val="00EE7F5B"/>
    <w:rsid w:val="00EF01A5"/>
    <w:rsid w:val="00EF0E7C"/>
    <w:rsid w:val="00EF1D32"/>
    <w:rsid w:val="00EF5932"/>
    <w:rsid w:val="00EF7599"/>
    <w:rsid w:val="00EF7FC0"/>
    <w:rsid w:val="00F04F97"/>
    <w:rsid w:val="00F114D1"/>
    <w:rsid w:val="00F13155"/>
    <w:rsid w:val="00F1525E"/>
    <w:rsid w:val="00F16EEB"/>
    <w:rsid w:val="00F174CF"/>
    <w:rsid w:val="00F20463"/>
    <w:rsid w:val="00F20A22"/>
    <w:rsid w:val="00F20ECA"/>
    <w:rsid w:val="00F2394B"/>
    <w:rsid w:val="00F23CE9"/>
    <w:rsid w:val="00F2419C"/>
    <w:rsid w:val="00F24311"/>
    <w:rsid w:val="00F24A5F"/>
    <w:rsid w:val="00F264C1"/>
    <w:rsid w:val="00F27941"/>
    <w:rsid w:val="00F3382F"/>
    <w:rsid w:val="00F35059"/>
    <w:rsid w:val="00F418B1"/>
    <w:rsid w:val="00F42C64"/>
    <w:rsid w:val="00F43363"/>
    <w:rsid w:val="00F43EBA"/>
    <w:rsid w:val="00F44311"/>
    <w:rsid w:val="00F44468"/>
    <w:rsid w:val="00F44A99"/>
    <w:rsid w:val="00F47A21"/>
    <w:rsid w:val="00F52250"/>
    <w:rsid w:val="00F54036"/>
    <w:rsid w:val="00F5584A"/>
    <w:rsid w:val="00F56C2D"/>
    <w:rsid w:val="00F572ED"/>
    <w:rsid w:val="00F5756B"/>
    <w:rsid w:val="00F5770D"/>
    <w:rsid w:val="00F579B9"/>
    <w:rsid w:val="00F6099B"/>
    <w:rsid w:val="00F62A4F"/>
    <w:rsid w:val="00F7204D"/>
    <w:rsid w:val="00F75037"/>
    <w:rsid w:val="00F7545A"/>
    <w:rsid w:val="00F80F1F"/>
    <w:rsid w:val="00F84215"/>
    <w:rsid w:val="00F84EB9"/>
    <w:rsid w:val="00F85E15"/>
    <w:rsid w:val="00F909DD"/>
    <w:rsid w:val="00F92F86"/>
    <w:rsid w:val="00F93B3E"/>
    <w:rsid w:val="00F94B81"/>
    <w:rsid w:val="00F9518E"/>
    <w:rsid w:val="00F973F1"/>
    <w:rsid w:val="00F974DC"/>
    <w:rsid w:val="00F97852"/>
    <w:rsid w:val="00FA094A"/>
    <w:rsid w:val="00FA4D82"/>
    <w:rsid w:val="00FA6B69"/>
    <w:rsid w:val="00FA7929"/>
    <w:rsid w:val="00FB143A"/>
    <w:rsid w:val="00FB6849"/>
    <w:rsid w:val="00FB6A8D"/>
    <w:rsid w:val="00FB6C35"/>
    <w:rsid w:val="00FC1B11"/>
    <w:rsid w:val="00FC2F54"/>
    <w:rsid w:val="00FC6258"/>
    <w:rsid w:val="00FC6F12"/>
    <w:rsid w:val="00FC7721"/>
    <w:rsid w:val="00FD2464"/>
    <w:rsid w:val="00FD2EE3"/>
    <w:rsid w:val="00FD3AE7"/>
    <w:rsid w:val="00FD45BC"/>
    <w:rsid w:val="00FE053D"/>
    <w:rsid w:val="00FE08AF"/>
    <w:rsid w:val="00FE6B6B"/>
    <w:rsid w:val="00FF395C"/>
    <w:rsid w:val="00FF4F30"/>
    <w:rsid w:val="00FF7A4C"/>
    <w:rsid w:val="01252224"/>
    <w:rsid w:val="01FE3259"/>
    <w:rsid w:val="020A27FA"/>
    <w:rsid w:val="02451AFA"/>
    <w:rsid w:val="02B26E88"/>
    <w:rsid w:val="03051F1A"/>
    <w:rsid w:val="031F3DF1"/>
    <w:rsid w:val="0334131B"/>
    <w:rsid w:val="0361273A"/>
    <w:rsid w:val="03F60FF6"/>
    <w:rsid w:val="048F14EA"/>
    <w:rsid w:val="04F07245"/>
    <w:rsid w:val="050E411D"/>
    <w:rsid w:val="05281666"/>
    <w:rsid w:val="05940AF5"/>
    <w:rsid w:val="05C66BB1"/>
    <w:rsid w:val="063E7549"/>
    <w:rsid w:val="064F49ED"/>
    <w:rsid w:val="06773F78"/>
    <w:rsid w:val="069C3CAC"/>
    <w:rsid w:val="06E238B0"/>
    <w:rsid w:val="072056C7"/>
    <w:rsid w:val="07215A0C"/>
    <w:rsid w:val="073101A0"/>
    <w:rsid w:val="075B1E40"/>
    <w:rsid w:val="076F767D"/>
    <w:rsid w:val="07E92BD4"/>
    <w:rsid w:val="08585A8F"/>
    <w:rsid w:val="089869AC"/>
    <w:rsid w:val="089B7ABE"/>
    <w:rsid w:val="08A2799E"/>
    <w:rsid w:val="08A812D2"/>
    <w:rsid w:val="08D73BB5"/>
    <w:rsid w:val="09067810"/>
    <w:rsid w:val="09417EA6"/>
    <w:rsid w:val="097430E9"/>
    <w:rsid w:val="09DB5632"/>
    <w:rsid w:val="0A285C81"/>
    <w:rsid w:val="0A5F3E9A"/>
    <w:rsid w:val="0A612B9C"/>
    <w:rsid w:val="0A6842D0"/>
    <w:rsid w:val="0AB96AC4"/>
    <w:rsid w:val="0ABD7054"/>
    <w:rsid w:val="0AF049F1"/>
    <w:rsid w:val="0B5B0488"/>
    <w:rsid w:val="0BB07302"/>
    <w:rsid w:val="0C5E2EA2"/>
    <w:rsid w:val="0CD71295"/>
    <w:rsid w:val="0CDF49BA"/>
    <w:rsid w:val="0CEA78CE"/>
    <w:rsid w:val="0D801362"/>
    <w:rsid w:val="0DAC06E5"/>
    <w:rsid w:val="0DB95B97"/>
    <w:rsid w:val="0E31724D"/>
    <w:rsid w:val="0EAD0F04"/>
    <w:rsid w:val="0F781459"/>
    <w:rsid w:val="0F9F0DAC"/>
    <w:rsid w:val="0FB3423F"/>
    <w:rsid w:val="10920DE1"/>
    <w:rsid w:val="10A21166"/>
    <w:rsid w:val="10B22749"/>
    <w:rsid w:val="10B464C1"/>
    <w:rsid w:val="11196FB3"/>
    <w:rsid w:val="11586556"/>
    <w:rsid w:val="11625F1D"/>
    <w:rsid w:val="119500A0"/>
    <w:rsid w:val="11D72467"/>
    <w:rsid w:val="11DC7FA3"/>
    <w:rsid w:val="12491C54"/>
    <w:rsid w:val="129E70B0"/>
    <w:rsid w:val="12A44A97"/>
    <w:rsid w:val="12F84B0B"/>
    <w:rsid w:val="133D70DE"/>
    <w:rsid w:val="135111CB"/>
    <w:rsid w:val="1352248A"/>
    <w:rsid w:val="13542A21"/>
    <w:rsid w:val="141D25CF"/>
    <w:rsid w:val="145429CC"/>
    <w:rsid w:val="14A30B7E"/>
    <w:rsid w:val="14F87B27"/>
    <w:rsid w:val="15304A43"/>
    <w:rsid w:val="15864512"/>
    <w:rsid w:val="159B354C"/>
    <w:rsid w:val="15C70A9C"/>
    <w:rsid w:val="15DA5DF3"/>
    <w:rsid w:val="15FE3905"/>
    <w:rsid w:val="16036A96"/>
    <w:rsid w:val="160C2424"/>
    <w:rsid w:val="167179C0"/>
    <w:rsid w:val="16A905C7"/>
    <w:rsid w:val="16C706E6"/>
    <w:rsid w:val="16C97A7F"/>
    <w:rsid w:val="171A6169"/>
    <w:rsid w:val="17454196"/>
    <w:rsid w:val="17604643"/>
    <w:rsid w:val="177F639C"/>
    <w:rsid w:val="17921F53"/>
    <w:rsid w:val="17FB6783"/>
    <w:rsid w:val="18016BC3"/>
    <w:rsid w:val="18720F56"/>
    <w:rsid w:val="18907E9D"/>
    <w:rsid w:val="18CA2B86"/>
    <w:rsid w:val="18F71DE2"/>
    <w:rsid w:val="195531BC"/>
    <w:rsid w:val="197F68A3"/>
    <w:rsid w:val="198509FA"/>
    <w:rsid w:val="19B63F76"/>
    <w:rsid w:val="19F53CBC"/>
    <w:rsid w:val="1A186B73"/>
    <w:rsid w:val="1A6B7567"/>
    <w:rsid w:val="1A735AAB"/>
    <w:rsid w:val="1A78230D"/>
    <w:rsid w:val="1ABE298D"/>
    <w:rsid w:val="1AC150B4"/>
    <w:rsid w:val="1ADC0670"/>
    <w:rsid w:val="1B2A15F3"/>
    <w:rsid w:val="1B570174"/>
    <w:rsid w:val="1B6A2295"/>
    <w:rsid w:val="1B6A4108"/>
    <w:rsid w:val="1C116575"/>
    <w:rsid w:val="1C381D54"/>
    <w:rsid w:val="1C3B49A0"/>
    <w:rsid w:val="1C755DE9"/>
    <w:rsid w:val="1CC5436D"/>
    <w:rsid w:val="1CE8431F"/>
    <w:rsid w:val="1D4D182F"/>
    <w:rsid w:val="1D533029"/>
    <w:rsid w:val="1DE303E5"/>
    <w:rsid w:val="1DE622EC"/>
    <w:rsid w:val="1E3505AC"/>
    <w:rsid w:val="1E944404"/>
    <w:rsid w:val="1F0609D2"/>
    <w:rsid w:val="1F4D1F21"/>
    <w:rsid w:val="1FD977A9"/>
    <w:rsid w:val="1FE16BA6"/>
    <w:rsid w:val="1FEF0694"/>
    <w:rsid w:val="20191E9C"/>
    <w:rsid w:val="202A22FB"/>
    <w:rsid w:val="202E0734"/>
    <w:rsid w:val="203D036F"/>
    <w:rsid w:val="2096264C"/>
    <w:rsid w:val="209D0D1F"/>
    <w:rsid w:val="20B62501"/>
    <w:rsid w:val="214D0FB5"/>
    <w:rsid w:val="21890675"/>
    <w:rsid w:val="218D51B0"/>
    <w:rsid w:val="21A86044"/>
    <w:rsid w:val="21D30B38"/>
    <w:rsid w:val="21D70BB5"/>
    <w:rsid w:val="21FA7EE0"/>
    <w:rsid w:val="22245514"/>
    <w:rsid w:val="222608A0"/>
    <w:rsid w:val="22456237"/>
    <w:rsid w:val="227009D4"/>
    <w:rsid w:val="230A3639"/>
    <w:rsid w:val="231C1E3F"/>
    <w:rsid w:val="233174FD"/>
    <w:rsid w:val="235D0CC7"/>
    <w:rsid w:val="23E43FD0"/>
    <w:rsid w:val="23F46EA8"/>
    <w:rsid w:val="24CD76F9"/>
    <w:rsid w:val="24D62123"/>
    <w:rsid w:val="25352600"/>
    <w:rsid w:val="25F51137"/>
    <w:rsid w:val="25FA68C7"/>
    <w:rsid w:val="2650034B"/>
    <w:rsid w:val="268D74C9"/>
    <w:rsid w:val="26F46E30"/>
    <w:rsid w:val="271E2531"/>
    <w:rsid w:val="273E5511"/>
    <w:rsid w:val="27704DA4"/>
    <w:rsid w:val="279903E2"/>
    <w:rsid w:val="27AC6324"/>
    <w:rsid w:val="27F31225"/>
    <w:rsid w:val="288E533C"/>
    <w:rsid w:val="28C315BC"/>
    <w:rsid w:val="28D03872"/>
    <w:rsid w:val="28FB2A87"/>
    <w:rsid w:val="29906056"/>
    <w:rsid w:val="29CF1AF9"/>
    <w:rsid w:val="2A530082"/>
    <w:rsid w:val="2A93796F"/>
    <w:rsid w:val="2ACB6D8B"/>
    <w:rsid w:val="2AEA6FDB"/>
    <w:rsid w:val="2AFD79E6"/>
    <w:rsid w:val="2B0A3E41"/>
    <w:rsid w:val="2B3E677B"/>
    <w:rsid w:val="2B6739C3"/>
    <w:rsid w:val="2B895CA1"/>
    <w:rsid w:val="2BB55ACF"/>
    <w:rsid w:val="2BBB0F48"/>
    <w:rsid w:val="2C2107AE"/>
    <w:rsid w:val="2C212804"/>
    <w:rsid w:val="2C575A56"/>
    <w:rsid w:val="2C6114E2"/>
    <w:rsid w:val="2D173C07"/>
    <w:rsid w:val="2D263E4A"/>
    <w:rsid w:val="2D766B80"/>
    <w:rsid w:val="2DD1025A"/>
    <w:rsid w:val="2DDE305F"/>
    <w:rsid w:val="2DE00C12"/>
    <w:rsid w:val="2E141C59"/>
    <w:rsid w:val="2E1658A8"/>
    <w:rsid w:val="2E70701D"/>
    <w:rsid w:val="2EB55486"/>
    <w:rsid w:val="2F0D2168"/>
    <w:rsid w:val="2F250132"/>
    <w:rsid w:val="2F32243F"/>
    <w:rsid w:val="2F8D25EA"/>
    <w:rsid w:val="2FE311D7"/>
    <w:rsid w:val="30146D95"/>
    <w:rsid w:val="301937F3"/>
    <w:rsid w:val="30800F32"/>
    <w:rsid w:val="308723F2"/>
    <w:rsid w:val="30975584"/>
    <w:rsid w:val="30A404FB"/>
    <w:rsid w:val="30DB7E09"/>
    <w:rsid w:val="30ED44FD"/>
    <w:rsid w:val="3193270D"/>
    <w:rsid w:val="31D76D98"/>
    <w:rsid w:val="31EC03B2"/>
    <w:rsid w:val="3220355E"/>
    <w:rsid w:val="32B954EF"/>
    <w:rsid w:val="32EB5B55"/>
    <w:rsid w:val="3392223A"/>
    <w:rsid w:val="33AE6D56"/>
    <w:rsid w:val="348C1BDF"/>
    <w:rsid w:val="34A11B71"/>
    <w:rsid w:val="354B7275"/>
    <w:rsid w:val="35A03EC4"/>
    <w:rsid w:val="35AE2C2F"/>
    <w:rsid w:val="35AF4269"/>
    <w:rsid w:val="35CD4AFF"/>
    <w:rsid w:val="35F20D39"/>
    <w:rsid w:val="367D1023"/>
    <w:rsid w:val="368F480F"/>
    <w:rsid w:val="369D7A46"/>
    <w:rsid w:val="371F2036"/>
    <w:rsid w:val="37735EDE"/>
    <w:rsid w:val="37B91FDB"/>
    <w:rsid w:val="37CE14D8"/>
    <w:rsid w:val="37DB7748"/>
    <w:rsid w:val="38015C93"/>
    <w:rsid w:val="380E5A96"/>
    <w:rsid w:val="3816738F"/>
    <w:rsid w:val="381B6894"/>
    <w:rsid w:val="381C6BD2"/>
    <w:rsid w:val="38397128"/>
    <w:rsid w:val="38CB0A49"/>
    <w:rsid w:val="39431D96"/>
    <w:rsid w:val="3A2A2646"/>
    <w:rsid w:val="3AB17449"/>
    <w:rsid w:val="3AB86644"/>
    <w:rsid w:val="3B46294E"/>
    <w:rsid w:val="3BCD4C13"/>
    <w:rsid w:val="3C0C4B3D"/>
    <w:rsid w:val="3C7D23CD"/>
    <w:rsid w:val="3C904085"/>
    <w:rsid w:val="3C9E7C2D"/>
    <w:rsid w:val="3D2309B8"/>
    <w:rsid w:val="3D6E6256"/>
    <w:rsid w:val="3DD1570D"/>
    <w:rsid w:val="3DD44ACA"/>
    <w:rsid w:val="3DFA13C9"/>
    <w:rsid w:val="3E0E6C20"/>
    <w:rsid w:val="3E4A1FB7"/>
    <w:rsid w:val="3EAA7EF6"/>
    <w:rsid w:val="3EB30BB8"/>
    <w:rsid w:val="3EF34362"/>
    <w:rsid w:val="3F1C50AD"/>
    <w:rsid w:val="3F1F1FE4"/>
    <w:rsid w:val="3F760043"/>
    <w:rsid w:val="3F9B46AC"/>
    <w:rsid w:val="3FB13A48"/>
    <w:rsid w:val="405E3BCF"/>
    <w:rsid w:val="40742100"/>
    <w:rsid w:val="40754A75"/>
    <w:rsid w:val="40AF61D9"/>
    <w:rsid w:val="40B32347"/>
    <w:rsid w:val="40B627C0"/>
    <w:rsid w:val="40D95004"/>
    <w:rsid w:val="40E50888"/>
    <w:rsid w:val="40FB30CB"/>
    <w:rsid w:val="412231B9"/>
    <w:rsid w:val="41A62470"/>
    <w:rsid w:val="420F4A55"/>
    <w:rsid w:val="428250D3"/>
    <w:rsid w:val="43272DB8"/>
    <w:rsid w:val="4331710B"/>
    <w:rsid w:val="43413EB6"/>
    <w:rsid w:val="43877288"/>
    <w:rsid w:val="43C006FD"/>
    <w:rsid w:val="43F06060"/>
    <w:rsid w:val="43F342B0"/>
    <w:rsid w:val="43F76143"/>
    <w:rsid w:val="443660A0"/>
    <w:rsid w:val="449456E3"/>
    <w:rsid w:val="44E14531"/>
    <w:rsid w:val="45132AAF"/>
    <w:rsid w:val="45161A51"/>
    <w:rsid w:val="456D5F9A"/>
    <w:rsid w:val="45961445"/>
    <w:rsid w:val="46154710"/>
    <w:rsid w:val="46441DEA"/>
    <w:rsid w:val="46641814"/>
    <w:rsid w:val="46A169F1"/>
    <w:rsid w:val="4726328F"/>
    <w:rsid w:val="478F4ECF"/>
    <w:rsid w:val="47993DFA"/>
    <w:rsid w:val="47E405D2"/>
    <w:rsid w:val="47E81FD1"/>
    <w:rsid w:val="47F95AC8"/>
    <w:rsid w:val="47FB5D4F"/>
    <w:rsid w:val="489108BA"/>
    <w:rsid w:val="49503779"/>
    <w:rsid w:val="49786297"/>
    <w:rsid w:val="49BC066F"/>
    <w:rsid w:val="49DC65BB"/>
    <w:rsid w:val="4AA27757"/>
    <w:rsid w:val="4AAA1891"/>
    <w:rsid w:val="4B303E21"/>
    <w:rsid w:val="4B5B46F5"/>
    <w:rsid w:val="4B9177DA"/>
    <w:rsid w:val="4BC43FB3"/>
    <w:rsid w:val="4BFE6267"/>
    <w:rsid w:val="4C101847"/>
    <w:rsid w:val="4C147838"/>
    <w:rsid w:val="4C2E3023"/>
    <w:rsid w:val="4C312198"/>
    <w:rsid w:val="4C5479B0"/>
    <w:rsid w:val="4C6065D9"/>
    <w:rsid w:val="4CF04F67"/>
    <w:rsid w:val="4D225FBE"/>
    <w:rsid w:val="4D7F313C"/>
    <w:rsid w:val="4DCC77A2"/>
    <w:rsid w:val="4E222E8F"/>
    <w:rsid w:val="4E4E1A62"/>
    <w:rsid w:val="4E7863DD"/>
    <w:rsid w:val="4E8547F9"/>
    <w:rsid w:val="4F7B2CA9"/>
    <w:rsid w:val="4F85070E"/>
    <w:rsid w:val="4F9C72F9"/>
    <w:rsid w:val="4FC80A03"/>
    <w:rsid w:val="50153B7F"/>
    <w:rsid w:val="505536A3"/>
    <w:rsid w:val="50B92EE3"/>
    <w:rsid w:val="51325702"/>
    <w:rsid w:val="5135078D"/>
    <w:rsid w:val="51577D3D"/>
    <w:rsid w:val="525070F0"/>
    <w:rsid w:val="52556C80"/>
    <w:rsid w:val="52E642A5"/>
    <w:rsid w:val="536D12FB"/>
    <w:rsid w:val="537E18F8"/>
    <w:rsid w:val="53CB2ED2"/>
    <w:rsid w:val="53D918C5"/>
    <w:rsid w:val="545C7835"/>
    <w:rsid w:val="548E0C37"/>
    <w:rsid w:val="54A11E85"/>
    <w:rsid w:val="559E4396"/>
    <w:rsid w:val="55A27C63"/>
    <w:rsid w:val="55D63DB0"/>
    <w:rsid w:val="5633275D"/>
    <w:rsid w:val="569058B2"/>
    <w:rsid w:val="56FA587C"/>
    <w:rsid w:val="572A7DC0"/>
    <w:rsid w:val="57310FDC"/>
    <w:rsid w:val="573F19D1"/>
    <w:rsid w:val="57E9601D"/>
    <w:rsid w:val="57F835F2"/>
    <w:rsid w:val="583E33AA"/>
    <w:rsid w:val="58F44C79"/>
    <w:rsid w:val="590E5642"/>
    <w:rsid w:val="594A2020"/>
    <w:rsid w:val="59521758"/>
    <w:rsid w:val="595D3DAB"/>
    <w:rsid w:val="59822285"/>
    <w:rsid w:val="598900F2"/>
    <w:rsid w:val="59A54C91"/>
    <w:rsid w:val="5A055DFC"/>
    <w:rsid w:val="5A142AE9"/>
    <w:rsid w:val="5A430645"/>
    <w:rsid w:val="5B0B4BAC"/>
    <w:rsid w:val="5B123B7C"/>
    <w:rsid w:val="5B372BFB"/>
    <w:rsid w:val="5B6235E4"/>
    <w:rsid w:val="5B667984"/>
    <w:rsid w:val="5BE96A70"/>
    <w:rsid w:val="5C2840E2"/>
    <w:rsid w:val="5CAF2C65"/>
    <w:rsid w:val="5CF747AC"/>
    <w:rsid w:val="5D0C1038"/>
    <w:rsid w:val="5D183E05"/>
    <w:rsid w:val="5D7C523D"/>
    <w:rsid w:val="5D8E05F5"/>
    <w:rsid w:val="5DC858FF"/>
    <w:rsid w:val="5E167440"/>
    <w:rsid w:val="5E37344B"/>
    <w:rsid w:val="5E457FFC"/>
    <w:rsid w:val="5E487738"/>
    <w:rsid w:val="5E991F56"/>
    <w:rsid w:val="5EA762EA"/>
    <w:rsid w:val="5F0674B4"/>
    <w:rsid w:val="5F3C4EC7"/>
    <w:rsid w:val="5F7401E2"/>
    <w:rsid w:val="5F9D1B2C"/>
    <w:rsid w:val="603D33A1"/>
    <w:rsid w:val="6088401C"/>
    <w:rsid w:val="60921E4B"/>
    <w:rsid w:val="60923B0B"/>
    <w:rsid w:val="60A222B1"/>
    <w:rsid w:val="60AB1573"/>
    <w:rsid w:val="6122434D"/>
    <w:rsid w:val="61404326"/>
    <w:rsid w:val="61A8247B"/>
    <w:rsid w:val="61EF4E23"/>
    <w:rsid w:val="629D11FF"/>
    <w:rsid w:val="62D33B51"/>
    <w:rsid w:val="62DE30E7"/>
    <w:rsid w:val="63824EE7"/>
    <w:rsid w:val="639A3FD8"/>
    <w:rsid w:val="63A062DE"/>
    <w:rsid w:val="64E810E5"/>
    <w:rsid w:val="65090E3B"/>
    <w:rsid w:val="65557C89"/>
    <w:rsid w:val="65824295"/>
    <w:rsid w:val="65943C08"/>
    <w:rsid w:val="65B81718"/>
    <w:rsid w:val="65F03D04"/>
    <w:rsid w:val="66104032"/>
    <w:rsid w:val="661F70AE"/>
    <w:rsid w:val="66656F8C"/>
    <w:rsid w:val="66F760E2"/>
    <w:rsid w:val="67140294"/>
    <w:rsid w:val="674445BE"/>
    <w:rsid w:val="677A52BA"/>
    <w:rsid w:val="67CC6DC1"/>
    <w:rsid w:val="68BB4DBB"/>
    <w:rsid w:val="69011A6C"/>
    <w:rsid w:val="693370F8"/>
    <w:rsid w:val="695157D0"/>
    <w:rsid w:val="69777C99"/>
    <w:rsid w:val="698A2068"/>
    <w:rsid w:val="6A2D47F2"/>
    <w:rsid w:val="6A415844"/>
    <w:rsid w:val="6B086744"/>
    <w:rsid w:val="6B1B42E7"/>
    <w:rsid w:val="6B240C48"/>
    <w:rsid w:val="6B4F4AAD"/>
    <w:rsid w:val="6B554008"/>
    <w:rsid w:val="6B9D7B11"/>
    <w:rsid w:val="6BB87D88"/>
    <w:rsid w:val="6C3F2681"/>
    <w:rsid w:val="6C5A3209"/>
    <w:rsid w:val="6CAB1AC5"/>
    <w:rsid w:val="6CB93DB8"/>
    <w:rsid w:val="6D4D4FF5"/>
    <w:rsid w:val="6D565335"/>
    <w:rsid w:val="6DCE7DBA"/>
    <w:rsid w:val="6DF94377"/>
    <w:rsid w:val="6E1F7F9E"/>
    <w:rsid w:val="6E2039C3"/>
    <w:rsid w:val="6E2457A7"/>
    <w:rsid w:val="6EAE2648"/>
    <w:rsid w:val="6F0C4C9A"/>
    <w:rsid w:val="6F55769C"/>
    <w:rsid w:val="6F6437B4"/>
    <w:rsid w:val="6FFD15BA"/>
    <w:rsid w:val="7043156F"/>
    <w:rsid w:val="70652415"/>
    <w:rsid w:val="70A70EF4"/>
    <w:rsid w:val="71382D8E"/>
    <w:rsid w:val="715324BD"/>
    <w:rsid w:val="71EF5B86"/>
    <w:rsid w:val="721248DD"/>
    <w:rsid w:val="726075BC"/>
    <w:rsid w:val="72A0282A"/>
    <w:rsid w:val="72A677BB"/>
    <w:rsid w:val="72A75513"/>
    <w:rsid w:val="72CB387F"/>
    <w:rsid w:val="73F73CC9"/>
    <w:rsid w:val="744A361A"/>
    <w:rsid w:val="744F6DB0"/>
    <w:rsid w:val="74933DF5"/>
    <w:rsid w:val="75410DEE"/>
    <w:rsid w:val="755A0DE3"/>
    <w:rsid w:val="757968AB"/>
    <w:rsid w:val="75D25A7C"/>
    <w:rsid w:val="75EB5E80"/>
    <w:rsid w:val="75F93477"/>
    <w:rsid w:val="761222FF"/>
    <w:rsid w:val="768D4980"/>
    <w:rsid w:val="76932CC2"/>
    <w:rsid w:val="76A4045C"/>
    <w:rsid w:val="76CF383A"/>
    <w:rsid w:val="77086C14"/>
    <w:rsid w:val="771F2E86"/>
    <w:rsid w:val="772E0EFE"/>
    <w:rsid w:val="7750356B"/>
    <w:rsid w:val="77685980"/>
    <w:rsid w:val="77770AF7"/>
    <w:rsid w:val="77E764E5"/>
    <w:rsid w:val="79352EE7"/>
    <w:rsid w:val="79BA74B5"/>
    <w:rsid w:val="7A724339"/>
    <w:rsid w:val="7A77226B"/>
    <w:rsid w:val="7AAE0972"/>
    <w:rsid w:val="7AD650E6"/>
    <w:rsid w:val="7B737828"/>
    <w:rsid w:val="7B811F45"/>
    <w:rsid w:val="7B8B2E30"/>
    <w:rsid w:val="7B971768"/>
    <w:rsid w:val="7BAE2FBD"/>
    <w:rsid w:val="7BD55E55"/>
    <w:rsid w:val="7CC37BE3"/>
    <w:rsid w:val="7CEA58C8"/>
    <w:rsid w:val="7D54596F"/>
    <w:rsid w:val="7E121751"/>
    <w:rsid w:val="7E1B53DE"/>
    <w:rsid w:val="7E1E7F1F"/>
    <w:rsid w:val="7E370FE0"/>
    <w:rsid w:val="7E4C4C35"/>
    <w:rsid w:val="7E59413A"/>
    <w:rsid w:val="7E911CE5"/>
    <w:rsid w:val="7F1A159B"/>
    <w:rsid w:val="7F2F7F0A"/>
    <w:rsid w:val="7F302AD4"/>
    <w:rsid w:val="7F550654"/>
    <w:rsid w:val="7F5A5532"/>
    <w:rsid w:val="7F686F78"/>
    <w:rsid w:val="7F9C3F33"/>
    <w:rsid w:val="7FCC57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qFormat="1" w:unhideWhenUsed="0" w:uiPriority="0" w:semiHidden="0" w:name="List 2"/>
    <w:lsdException w:qFormat="1" w:unhideWhenUsed="0" w:uiPriority="0" w:semiHidden="0"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iPriority="99"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qFormat="1" w:uiPriority="99" w:name="HTML Code"/>
    <w:lsdException w:uiPriority="99" w:name="HTML Definition"/>
    <w:lsdException w:qFormat="1" w:uiPriority="99" w:name="HTML Keyboard"/>
    <w:lsdException w:uiPriority="99" w:name="HTML Preformatted"/>
    <w:lsdException w:qFormat="1"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Times New Roman" w:eastAsia="宋体" w:cs="宋体"/>
      <w:kern w:val="2"/>
      <w:sz w:val="28"/>
      <w:szCs w:val="28"/>
      <w:lang w:val="en-US" w:eastAsia="zh-CN" w:bidi="ar-SA"/>
    </w:rPr>
  </w:style>
  <w:style w:type="paragraph" w:styleId="3">
    <w:name w:val="heading 1"/>
    <w:basedOn w:val="1"/>
    <w:next w:val="1"/>
    <w:link w:val="64"/>
    <w:qFormat/>
    <w:uiPriority w:val="0"/>
    <w:pPr>
      <w:keepNext/>
      <w:keepLines/>
      <w:spacing w:line="360" w:lineRule="auto"/>
      <w:jc w:val="center"/>
      <w:outlineLvl w:val="0"/>
    </w:pPr>
    <w:rPr>
      <w:rFonts w:cs="Times New Roman"/>
      <w:b/>
      <w:bCs/>
      <w:kern w:val="44"/>
      <w:sz w:val="44"/>
      <w:szCs w:val="44"/>
    </w:rPr>
  </w:style>
  <w:style w:type="paragraph" w:styleId="4">
    <w:name w:val="heading 2"/>
    <w:basedOn w:val="3"/>
    <w:next w:val="1"/>
    <w:link w:val="79"/>
    <w:qFormat/>
    <w:uiPriority w:val="9"/>
    <w:pPr>
      <w:widowControl/>
      <w:jc w:val="left"/>
      <w:outlineLvl w:val="1"/>
    </w:pPr>
    <w:rPr>
      <w:kern w:val="0"/>
      <w:sz w:val="36"/>
      <w:szCs w:val="36"/>
    </w:rPr>
  </w:style>
  <w:style w:type="paragraph" w:styleId="5">
    <w:name w:val="heading 3"/>
    <w:basedOn w:val="1"/>
    <w:next w:val="1"/>
    <w:link w:val="105"/>
    <w:qFormat/>
    <w:uiPriority w:val="9"/>
    <w:pPr>
      <w:keepNext/>
      <w:keepLines/>
      <w:spacing w:line="416" w:lineRule="auto"/>
      <w:jc w:val="left"/>
      <w:outlineLvl w:val="2"/>
    </w:pPr>
    <w:rPr>
      <w:rFonts w:ascii="Times New Roman" w:eastAsia="黑体" w:cs="Times New Roman"/>
      <w:sz w:val="32"/>
      <w:szCs w:val="32"/>
    </w:rPr>
  </w:style>
  <w:style w:type="paragraph" w:styleId="6">
    <w:name w:val="heading 4"/>
    <w:basedOn w:val="1"/>
    <w:next w:val="1"/>
    <w:link w:val="59"/>
    <w:qFormat/>
    <w:uiPriority w:val="0"/>
    <w:pPr>
      <w:keepNext/>
      <w:keepLines/>
      <w:spacing w:before="280" w:after="290" w:line="376" w:lineRule="auto"/>
      <w:outlineLvl w:val="3"/>
    </w:pPr>
    <w:rPr>
      <w:rFonts w:ascii="Calibri Light" w:hAnsi="Calibri Light" w:cs="Times New Roman"/>
      <w:b/>
      <w:bCs/>
    </w:rPr>
  </w:style>
  <w:style w:type="paragraph" w:styleId="7">
    <w:name w:val="heading 5"/>
    <w:basedOn w:val="1"/>
    <w:next w:val="1"/>
    <w:link w:val="53"/>
    <w:qFormat/>
    <w:uiPriority w:val="0"/>
    <w:pPr>
      <w:keepNext/>
      <w:keepLines/>
      <w:tabs>
        <w:tab w:val="left" w:pos="0"/>
      </w:tabs>
      <w:spacing w:before="280" w:after="290" w:line="376" w:lineRule="auto"/>
      <w:outlineLvl w:val="4"/>
    </w:pPr>
    <w:rPr>
      <w:rFonts w:ascii="Times New Roman" w:cs="Times New Roman"/>
      <w:b/>
      <w:szCs w:val="20"/>
    </w:rPr>
  </w:style>
  <w:style w:type="paragraph" w:styleId="8">
    <w:name w:val="heading 6"/>
    <w:basedOn w:val="1"/>
    <w:next w:val="1"/>
    <w:link w:val="62"/>
    <w:qFormat/>
    <w:uiPriority w:val="0"/>
    <w:pPr>
      <w:keepNext/>
      <w:keepLines/>
      <w:tabs>
        <w:tab w:val="left" w:pos="0"/>
      </w:tabs>
      <w:spacing w:before="240" w:after="64" w:line="319" w:lineRule="auto"/>
      <w:outlineLvl w:val="5"/>
    </w:pPr>
    <w:rPr>
      <w:rFonts w:ascii="Arial" w:hAnsi="Arial" w:eastAsia="黑体" w:cs="Times New Roman"/>
      <w:b/>
      <w:sz w:val="24"/>
      <w:szCs w:val="20"/>
    </w:rPr>
  </w:style>
  <w:style w:type="paragraph" w:styleId="9">
    <w:name w:val="heading 7"/>
    <w:basedOn w:val="1"/>
    <w:next w:val="1"/>
    <w:link w:val="49"/>
    <w:qFormat/>
    <w:uiPriority w:val="0"/>
    <w:pPr>
      <w:keepNext/>
      <w:keepLines/>
      <w:tabs>
        <w:tab w:val="left" w:pos="0"/>
      </w:tabs>
      <w:spacing w:before="240" w:after="64" w:line="319" w:lineRule="auto"/>
      <w:outlineLvl w:val="6"/>
    </w:pPr>
    <w:rPr>
      <w:rFonts w:ascii="Times New Roman" w:cs="Times New Roman"/>
      <w:b/>
      <w:sz w:val="24"/>
      <w:szCs w:val="20"/>
    </w:rPr>
  </w:style>
  <w:style w:type="paragraph" w:styleId="10">
    <w:name w:val="heading 8"/>
    <w:basedOn w:val="1"/>
    <w:next w:val="1"/>
    <w:link w:val="91"/>
    <w:qFormat/>
    <w:uiPriority w:val="0"/>
    <w:pPr>
      <w:keepNext/>
      <w:keepLines/>
      <w:tabs>
        <w:tab w:val="left" w:pos="0"/>
      </w:tabs>
      <w:spacing w:before="240" w:after="64" w:line="319" w:lineRule="auto"/>
      <w:outlineLvl w:val="7"/>
    </w:pPr>
    <w:rPr>
      <w:rFonts w:ascii="Arial" w:hAnsi="Arial" w:eastAsia="黑体" w:cs="Times New Roman"/>
      <w:sz w:val="24"/>
      <w:szCs w:val="20"/>
    </w:rPr>
  </w:style>
  <w:style w:type="paragraph" w:styleId="11">
    <w:name w:val="heading 9"/>
    <w:basedOn w:val="1"/>
    <w:next w:val="1"/>
    <w:link w:val="101"/>
    <w:qFormat/>
    <w:uiPriority w:val="0"/>
    <w:pPr>
      <w:keepNext/>
      <w:keepLines/>
      <w:tabs>
        <w:tab w:val="left" w:pos="0"/>
      </w:tabs>
      <w:spacing w:before="240" w:after="64" w:line="319" w:lineRule="auto"/>
      <w:outlineLvl w:val="8"/>
    </w:pPr>
    <w:rPr>
      <w:rFonts w:ascii="Arial" w:hAnsi="Arial" w:eastAsia="黑体" w:cs="Times New Roman"/>
      <w:sz w:val="21"/>
      <w:szCs w:val="20"/>
    </w:rPr>
  </w:style>
  <w:style w:type="character" w:default="1" w:styleId="39">
    <w:name w:val="Default Paragraph Font"/>
    <w:semiHidden/>
    <w:unhideWhenUsed/>
    <w:qFormat/>
    <w:uiPriority w:val="1"/>
  </w:style>
  <w:style w:type="table" w:default="1" w:styleId="37">
    <w:name w:val="Normal Table"/>
    <w:semiHidden/>
    <w:unhideWhenUsed/>
    <w:qFormat/>
    <w:uiPriority w:val="99"/>
    <w:tblPr>
      <w:tblCellMar>
        <w:top w:w="0" w:type="dxa"/>
        <w:left w:w="108" w:type="dxa"/>
        <w:bottom w:w="0" w:type="dxa"/>
        <w:right w:w="108" w:type="dxa"/>
      </w:tblCellMar>
    </w:tblPr>
  </w:style>
  <w:style w:type="paragraph" w:customStyle="1" w:styleId="2">
    <w:name w:val="Default"/>
    <w:next w:val="1"/>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styleId="12">
    <w:name w:val="List 3"/>
    <w:basedOn w:val="1"/>
    <w:qFormat/>
    <w:uiPriority w:val="0"/>
    <w:pPr>
      <w:ind w:left="100" w:leftChars="400" w:hanging="200" w:hangingChars="200"/>
    </w:pPr>
    <w:rPr>
      <w:rFonts w:ascii="Times New Roman" w:cs="Times New Roman"/>
      <w:sz w:val="21"/>
      <w:szCs w:val="21"/>
    </w:rPr>
  </w:style>
  <w:style w:type="paragraph" w:styleId="13">
    <w:name w:val="Normal Indent"/>
    <w:basedOn w:val="1"/>
    <w:qFormat/>
    <w:uiPriority w:val="0"/>
    <w:pPr>
      <w:ind w:firstLine="420"/>
    </w:pPr>
    <w:rPr>
      <w:rFonts w:ascii="Times New Roman" w:cs="Times New Roman"/>
      <w:sz w:val="21"/>
      <w:szCs w:val="21"/>
    </w:rPr>
  </w:style>
  <w:style w:type="paragraph" w:styleId="14">
    <w:name w:val="caption"/>
    <w:basedOn w:val="1"/>
    <w:next w:val="1"/>
    <w:qFormat/>
    <w:uiPriority w:val="0"/>
    <w:pPr>
      <w:spacing w:before="152" w:after="160"/>
    </w:pPr>
    <w:rPr>
      <w:rFonts w:ascii="Arial" w:hAnsi="Arial" w:eastAsia="黑体" w:cs="Arial"/>
      <w:sz w:val="20"/>
      <w:szCs w:val="20"/>
    </w:rPr>
  </w:style>
  <w:style w:type="paragraph" w:styleId="15">
    <w:name w:val="Document Map"/>
    <w:basedOn w:val="1"/>
    <w:link w:val="87"/>
    <w:semiHidden/>
    <w:qFormat/>
    <w:uiPriority w:val="0"/>
    <w:pPr>
      <w:shd w:val="clear" w:color="auto" w:fill="000080"/>
    </w:pPr>
    <w:rPr>
      <w:rFonts w:ascii="Calibri" w:hAnsi="Calibri" w:cs="Times New Roman"/>
      <w:sz w:val="21"/>
      <w:szCs w:val="22"/>
    </w:rPr>
  </w:style>
  <w:style w:type="paragraph" w:styleId="16">
    <w:name w:val="annotation text"/>
    <w:basedOn w:val="1"/>
    <w:link w:val="90"/>
    <w:qFormat/>
    <w:uiPriority w:val="99"/>
    <w:pPr>
      <w:jc w:val="left"/>
    </w:pPr>
    <w:rPr>
      <w:rFonts w:cs="Times New Roman"/>
      <w:sz w:val="24"/>
      <w:szCs w:val="24"/>
    </w:rPr>
  </w:style>
  <w:style w:type="paragraph" w:styleId="17">
    <w:name w:val="Body Text"/>
    <w:basedOn w:val="1"/>
    <w:next w:val="1"/>
    <w:link w:val="57"/>
    <w:qFormat/>
    <w:uiPriority w:val="0"/>
    <w:rPr>
      <w:rFonts w:cs="Times New Roman"/>
      <w:sz w:val="32"/>
      <w:szCs w:val="32"/>
    </w:rPr>
  </w:style>
  <w:style w:type="paragraph" w:styleId="18">
    <w:name w:val="Body Text Indent"/>
    <w:basedOn w:val="1"/>
    <w:link w:val="56"/>
    <w:qFormat/>
    <w:uiPriority w:val="0"/>
    <w:pPr>
      <w:spacing w:line="480" w:lineRule="exact"/>
      <w:ind w:firstLine="538" w:firstLineChars="192"/>
      <w:jc w:val="left"/>
    </w:pPr>
    <w:rPr>
      <w:rFonts w:cs="Times New Roman"/>
      <w:sz w:val="24"/>
      <w:szCs w:val="24"/>
    </w:rPr>
  </w:style>
  <w:style w:type="paragraph" w:styleId="19">
    <w:name w:val="List 2"/>
    <w:basedOn w:val="1"/>
    <w:qFormat/>
    <w:uiPriority w:val="0"/>
    <w:pPr>
      <w:ind w:left="100" w:leftChars="200" w:hanging="200" w:hangingChars="200"/>
    </w:pPr>
    <w:rPr>
      <w:rFonts w:ascii="Times New Roman" w:cs="Times New Roman"/>
      <w:sz w:val="21"/>
      <w:szCs w:val="21"/>
    </w:rPr>
  </w:style>
  <w:style w:type="paragraph" w:styleId="20">
    <w:name w:val="toc 3"/>
    <w:basedOn w:val="1"/>
    <w:next w:val="1"/>
    <w:qFormat/>
    <w:uiPriority w:val="0"/>
    <w:pPr>
      <w:ind w:left="840" w:leftChars="400"/>
    </w:pPr>
  </w:style>
  <w:style w:type="paragraph" w:styleId="21">
    <w:name w:val="Plain Text"/>
    <w:basedOn w:val="1"/>
    <w:link w:val="95"/>
    <w:qFormat/>
    <w:uiPriority w:val="0"/>
    <w:rPr>
      <w:rFonts w:hAnsi="Courier New" w:cs="Times New Roman"/>
      <w:sz w:val="21"/>
      <w:szCs w:val="21"/>
    </w:rPr>
  </w:style>
  <w:style w:type="paragraph" w:styleId="22">
    <w:name w:val="Date"/>
    <w:basedOn w:val="1"/>
    <w:next w:val="1"/>
    <w:link w:val="68"/>
    <w:qFormat/>
    <w:uiPriority w:val="0"/>
    <w:pPr>
      <w:ind w:left="100" w:leftChars="2500"/>
    </w:pPr>
    <w:rPr>
      <w:rFonts w:cs="Times New Roman"/>
      <w:sz w:val="24"/>
      <w:szCs w:val="24"/>
    </w:rPr>
  </w:style>
  <w:style w:type="paragraph" w:styleId="23">
    <w:name w:val="Body Text Indent 2"/>
    <w:basedOn w:val="1"/>
    <w:link w:val="54"/>
    <w:qFormat/>
    <w:uiPriority w:val="0"/>
    <w:pPr>
      <w:spacing w:line="480" w:lineRule="exact"/>
      <w:ind w:firstLine="241" w:firstLineChars="100"/>
      <w:jc w:val="left"/>
    </w:pPr>
    <w:rPr>
      <w:rFonts w:ascii="黑体" w:hAnsi="宋体" w:eastAsia="黑体" w:cs="Times New Roman"/>
      <w:b/>
      <w:bCs/>
      <w:sz w:val="24"/>
      <w:szCs w:val="24"/>
    </w:rPr>
  </w:style>
  <w:style w:type="paragraph" w:styleId="24">
    <w:name w:val="Balloon Text"/>
    <w:basedOn w:val="1"/>
    <w:link w:val="93"/>
    <w:qFormat/>
    <w:uiPriority w:val="99"/>
    <w:rPr>
      <w:rFonts w:cs="Times New Roman"/>
      <w:sz w:val="18"/>
      <w:szCs w:val="18"/>
    </w:rPr>
  </w:style>
  <w:style w:type="paragraph" w:styleId="25">
    <w:name w:val="footer"/>
    <w:basedOn w:val="1"/>
    <w:link w:val="69"/>
    <w:qFormat/>
    <w:uiPriority w:val="99"/>
    <w:pPr>
      <w:tabs>
        <w:tab w:val="center" w:pos="4153"/>
        <w:tab w:val="right" w:pos="8306"/>
      </w:tabs>
      <w:snapToGrid w:val="0"/>
      <w:jc w:val="left"/>
    </w:pPr>
    <w:rPr>
      <w:rFonts w:ascii="Times New Roman" w:cs="Times New Roman"/>
      <w:sz w:val="18"/>
      <w:szCs w:val="18"/>
    </w:rPr>
  </w:style>
  <w:style w:type="paragraph" w:styleId="26">
    <w:name w:val="header"/>
    <w:basedOn w:val="1"/>
    <w:link w:val="96"/>
    <w:qFormat/>
    <w:uiPriority w:val="99"/>
    <w:pPr>
      <w:pBdr>
        <w:bottom w:val="single" w:color="auto" w:sz="6" w:space="1"/>
      </w:pBdr>
      <w:tabs>
        <w:tab w:val="center" w:pos="4153"/>
        <w:tab w:val="right" w:pos="8306"/>
      </w:tabs>
      <w:snapToGrid w:val="0"/>
      <w:jc w:val="center"/>
    </w:pPr>
    <w:rPr>
      <w:rFonts w:cs="Times New Roman"/>
      <w:kern w:val="0"/>
      <w:sz w:val="18"/>
      <w:szCs w:val="18"/>
    </w:rPr>
  </w:style>
  <w:style w:type="paragraph" w:styleId="27">
    <w:name w:val="toc 1"/>
    <w:basedOn w:val="1"/>
    <w:next w:val="1"/>
    <w:qFormat/>
    <w:uiPriority w:val="39"/>
  </w:style>
  <w:style w:type="paragraph" w:styleId="28">
    <w:name w:val="Subtitle"/>
    <w:basedOn w:val="1"/>
    <w:next w:val="1"/>
    <w:link w:val="94"/>
    <w:qFormat/>
    <w:uiPriority w:val="0"/>
    <w:pPr>
      <w:spacing w:before="240" w:after="60" w:line="312" w:lineRule="auto"/>
      <w:jc w:val="center"/>
      <w:outlineLvl w:val="1"/>
    </w:pPr>
    <w:rPr>
      <w:rFonts w:ascii="Cambria" w:hAnsi="Cambria" w:cs="Times New Roman"/>
      <w:b/>
      <w:kern w:val="28"/>
      <w:sz w:val="32"/>
      <w:szCs w:val="20"/>
    </w:rPr>
  </w:style>
  <w:style w:type="paragraph" w:styleId="29">
    <w:name w:val="List"/>
    <w:basedOn w:val="1"/>
    <w:qFormat/>
    <w:uiPriority w:val="0"/>
    <w:pPr>
      <w:ind w:left="200" w:hanging="200" w:hangingChars="200"/>
    </w:pPr>
    <w:rPr>
      <w:rFonts w:ascii="Times New Roman" w:cs="Times New Roman"/>
      <w:sz w:val="21"/>
      <w:szCs w:val="21"/>
    </w:rPr>
  </w:style>
  <w:style w:type="paragraph" w:styleId="30">
    <w:name w:val="Body Text Indent 3"/>
    <w:basedOn w:val="1"/>
    <w:link w:val="63"/>
    <w:qFormat/>
    <w:uiPriority w:val="0"/>
    <w:pPr>
      <w:spacing w:line="360" w:lineRule="auto"/>
      <w:ind w:firstLine="480" w:firstLineChars="200"/>
    </w:pPr>
    <w:rPr>
      <w:rFonts w:cs="Times New Roman"/>
      <w:sz w:val="24"/>
      <w:szCs w:val="24"/>
    </w:rPr>
  </w:style>
  <w:style w:type="paragraph" w:styleId="31">
    <w:name w:val="toc 2"/>
    <w:basedOn w:val="1"/>
    <w:next w:val="1"/>
    <w:qFormat/>
    <w:uiPriority w:val="39"/>
    <w:pPr>
      <w:ind w:left="420" w:leftChars="200"/>
    </w:pPr>
  </w:style>
  <w:style w:type="paragraph" w:styleId="32">
    <w:name w:val="Body Text 2"/>
    <w:basedOn w:val="1"/>
    <w:link w:val="74"/>
    <w:qFormat/>
    <w:uiPriority w:val="0"/>
    <w:pPr>
      <w:spacing w:after="120" w:line="480" w:lineRule="auto"/>
    </w:pPr>
    <w:rPr>
      <w:rFonts w:cs="Times New Roman"/>
      <w:sz w:val="24"/>
      <w:szCs w:val="24"/>
    </w:rPr>
  </w:style>
  <w:style w:type="paragraph" w:styleId="33">
    <w:name w:val="Normal (Web)"/>
    <w:basedOn w:val="1"/>
    <w:qFormat/>
    <w:uiPriority w:val="0"/>
    <w:pPr>
      <w:widowControl/>
      <w:spacing w:before="100" w:beforeAutospacing="1" w:after="100" w:afterAutospacing="1"/>
      <w:jc w:val="left"/>
    </w:pPr>
    <w:rPr>
      <w:rFonts w:ascii="Arial Unicode MS" w:hAnsi="Arial Unicode MS" w:eastAsia="Arial Unicode MS" w:cs="Arial Unicode MS"/>
      <w:kern w:val="0"/>
      <w:sz w:val="24"/>
      <w:szCs w:val="24"/>
    </w:rPr>
  </w:style>
  <w:style w:type="paragraph" w:styleId="34">
    <w:name w:val="Title"/>
    <w:basedOn w:val="1"/>
    <w:next w:val="1"/>
    <w:link w:val="52"/>
    <w:qFormat/>
    <w:uiPriority w:val="0"/>
    <w:pPr>
      <w:spacing w:before="240" w:after="60"/>
      <w:jc w:val="left"/>
      <w:outlineLvl w:val="0"/>
    </w:pPr>
    <w:rPr>
      <w:rFonts w:ascii="Cambria" w:hAnsi="Cambria" w:cs="Times New Roman"/>
      <w:b/>
      <w:bCs/>
      <w:sz w:val="32"/>
      <w:szCs w:val="32"/>
    </w:rPr>
  </w:style>
  <w:style w:type="paragraph" w:styleId="35">
    <w:name w:val="annotation subject"/>
    <w:basedOn w:val="16"/>
    <w:next w:val="16"/>
    <w:link w:val="99"/>
    <w:qFormat/>
    <w:uiPriority w:val="99"/>
    <w:rPr>
      <w:b/>
      <w:bCs/>
      <w:sz w:val="28"/>
      <w:szCs w:val="28"/>
    </w:rPr>
  </w:style>
  <w:style w:type="paragraph" w:styleId="36">
    <w:name w:val="Body Text First Indent"/>
    <w:basedOn w:val="17"/>
    <w:link w:val="158"/>
    <w:unhideWhenUsed/>
    <w:qFormat/>
    <w:uiPriority w:val="99"/>
    <w:pPr>
      <w:spacing w:after="120"/>
      <w:ind w:firstLine="420" w:firstLineChars="100"/>
    </w:pPr>
    <w:rPr>
      <w:rFonts w:ascii="Calibri" w:hAnsi="Calibri"/>
      <w:sz w:val="21"/>
      <w:szCs w:val="22"/>
    </w:rPr>
  </w:style>
  <w:style w:type="table" w:styleId="38">
    <w:name w:val="Table Grid"/>
    <w:basedOn w:val="37"/>
    <w:unhideWhenUsed/>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0">
    <w:name w:val="Strong"/>
    <w:qFormat/>
    <w:uiPriority w:val="0"/>
    <w:rPr>
      <w:b/>
      <w:bCs/>
    </w:rPr>
  </w:style>
  <w:style w:type="character" w:styleId="41">
    <w:name w:val="page number"/>
    <w:qFormat/>
    <w:uiPriority w:val="0"/>
    <w:rPr>
      <w:rFonts w:cs="Times New Roman"/>
    </w:rPr>
  </w:style>
  <w:style w:type="character" w:styleId="42">
    <w:name w:val="FollowedHyperlink"/>
    <w:qFormat/>
    <w:uiPriority w:val="0"/>
    <w:rPr>
      <w:rFonts w:cs="Times New Roman"/>
      <w:color w:val="800080"/>
      <w:u w:val="single"/>
    </w:rPr>
  </w:style>
  <w:style w:type="character" w:styleId="43">
    <w:name w:val="line number"/>
    <w:qFormat/>
    <w:uiPriority w:val="0"/>
    <w:rPr>
      <w:rFonts w:cs="Times New Roman"/>
    </w:rPr>
  </w:style>
  <w:style w:type="character" w:styleId="44">
    <w:name w:val="Hyperlink"/>
    <w:qFormat/>
    <w:uiPriority w:val="99"/>
    <w:rPr>
      <w:rFonts w:cs="Times New Roman"/>
      <w:color w:val="0000FF"/>
      <w:u w:val="single"/>
    </w:rPr>
  </w:style>
  <w:style w:type="character" w:styleId="45">
    <w:name w:val="HTML Code"/>
    <w:basedOn w:val="39"/>
    <w:semiHidden/>
    <w:unhideWhenUsed/>
    <w:qFormat/>
    <w:uiPriority w:val="99"/>
    <w:rPr>
      <w:rFonts w:ascii="Courier New" w:hAnsi="Courier New"/>
      <w:sz w:val="20"/>
    </w:rPr>
  </w:style>
  <w:style w:type="character" w:styleId="46">
    <w:name w:val="annotation reference"/>
    <w:qFormat/>
    <w:uiPriority w:val="99"/>
    <w:rPr>
      <w:rFonts w:cs="Times New Roman"/>
      <w:sz w:val="21"/>
      <w:szCs w:val="21"/>
    </w:rPr>
  </w:style>
  <w:style w:type="character" w:styleId="47">
    <w:name w:val="HTML Keyboard"/>
    <w:basedOn w:val="39"/>
    <w:semiHidden/>
    <w:unhideWhenUsed/>
    <w:qFormat/>
    <w:uiPriority w:val="99"/>
    <w:rPr>
      <w:rFonts w:ascii="Courier New" w:hAnsi="Courier New"/>
      <w:color w:val="CD0200"/>
      <w:sz w:val="20"/>
      <w:u w:val="none"/>
    </w:rPr>
  </w:style>
  <w:style w:type="character" w:styleId="48">
    <w:name w:val="HTML Sample"/>
    <w:basedOn w:val="39"/>
    <w:semiHidden/>
    <w:unhideWhenUsed/>
    <w:qFormat/>
    <w:uiPriority w:val="99"/>
    <w:rPr>
      <w:rFonts w:ascii="Courier New" w:hAnsi="Courier New"/>
    </w:rPr>
  </w:style>
  <w:style w:type="character" w:customStyle="1" w:styleId="49">
    <w:name w:val="标题 7 Char"/>
    <w:link w:val="9"/>
    <w:qFormat/>
    <w:uiPriority w:val="0"/>
    <w:rPr>
      <w:b/>
      <w:kern w:val="2"/>
      <w:sz w:val="24"/>
    </w:rPr>
  </w:style>
  <w:style w:type="character" w:customStyle="1" w:styleId="50">
    <w:name w:val="Body Text Char1"/>
    <w:qFormat/>
    <w:uiPriority w:val="0"/>
    <w:rPr>
      <w:rFonts w:ascii="宋体" w:cs="宋体"/>
      <w:sz w:val="28"/>
      <w:szCs w:val="28"/>
    </w:rPr>
  </w:style>
  <w:style w:type="character" w:customStyle="1" w:styleId="51">
    <w:name w:val="Balloon Text Char1"/>
    <w:qFormat/>
    <w:uiPriority w:val="0"/>
    <w:rPr>
      <w:rFonts w:ascii="宋体" w:cs="宋体"/>
      <w:sz w:val="2"/>
    </w:rPr>
  </w:style>
  <w:style w:type="character" w:customStyle="1" w:styleId="52">
    <w:name w:val="标题 Char"/>
    <w:link w:val="34"/>
    <w:qFormat/>
    <w:uiPriority w:val="0"/>
    <w:rPr>
      <w:rFonts w:ascii="Cambria" w:hAnsi="Cambria" w:cs="Cambria"/>
      <w:b/>
      <w:bCs/>
      <w:kern w:val="2"/>
      <w:sz w:val="32"/>
      <w:szCs w:val="32"/>
    </w:rPr>
  </w:style>
  <w:style w:type="character" w:customStyle="1" w:styleId="53">
    <w:name w:val="标题 5 Char"/>
    <w:link w:val="7"/>
    <w:qFormat/>
    <w:uiPriority w:val="0"/>
    <w:rPr>
      <w:b/>
      <w:kern w:val="2"/>
      <w:sz w:val="28"/>
    </w:rPr>
  </w:style>
  <w:style w:type="character" w:customStyle="1" w:styleId="54">
    <w:name w:val="正文文本缩进 2 Char"/>
    <w:link w:val="23"/>
    <w:qFormat/>
    <w:uiPriority w:val="0"/>
    <w:rPr>
      <w:rFonts w:ascii="黑体" w:hAnsi="宋体" w:eastAsia="黑体" w:cs="黑体"/>
      <w:b/>
      <w:bCs/>
      <w:kern w:val="2"/>
      <w:sz w:val="24"/>
      <w:szCs w:val="24"/>
      <w:lang w:val="en-US" w:eastAsia="zh-CN"/>
    </w:rPr>
  </w:style>
  <w:style w:type="character" w:customStyle="1" w:styleId="55">
    <w:name w:val="font01"/>
    <w:qFormat/>
    <w:uiPriority w:val="0"/>
    <w:rPr>
      <w:rFonts w:hint="eastAsia" w:ascii="宋体" w:hAnsi="宋体" w:eastAsia="宋体" w:cs="宋体"/>
      <w:color w:val="000000"/>
      <w:sz w:val="24"/>
      <w:szCs w:val="24"/>
    </w:rPr>
  </w:style>
  <w:style w:type="character" w:customStyle="1" w:styleId="56">
    <w:name w:val="正文文本缩进 Char"/>
    <w:link w:val="18"/>
    <w:qFormat/>
    <w:uiPriority w:val="0"/>
    <w:rPr>
      <w:rFonts w:ascii="宋体" w:cs="宋体"/>
      <w:kern w:val="2"/>
      <w:sz w:val="24"/>
      <w:szCs w:val="24"/>
    </w:rPr>
  </w:style>
  <w:style w:type="character" w:customStyle="1" w:styleId="57">
    <w:name w:val="正文文本 Char"/>
    <w:link w:val="17"/>
    <w:qFormat/>
    <w:uiPriority w:val="0"/>
    <w:rPr>
      <w:rFonts w:ascii="宋体" w:eastAsia="宋体" w:cs="宋体"/>
      <w:kern w:val="2"/>
      <w:sz w:val="32"/>
      <w:szCs w:val="32"/>
    </w:rPr>
  </w:style>
  <w:style w:type="character" w:customStyle="1" w:styleId="58">
    <w:name w:val="页脚 Char1"/>
    <w:qFormat/>
    <w:locked/>
    <w:uiPriority w:val="0"/>
    <w:rPr>
      <w:rFonts w:eastAsia="黑体"/>
      <w:snapToGrid/>
      <w:sz w:val="18"/>
      <w:szCs w:val="18"/>
    </w:rPr>
  </w:style>
  <w:style w:type="character" w:customStyle="1" w:styleId="59">
    <w:name w:val="标题 4 Char"/>
    <w:link w:val="6"/>
    <w:qFormat/>
    <w:uiPriority w:val="0"/>
    <w:rPr>
      <w:rFonts w:ascii="Calibri Light" w:hAnsi="Calibri Light" w:eastAsia="宋体" w:cs="Times New Roman"/>
      <w:b/>
      <w:bCs/>
      <w:kern w:val="2"/>
      <w:sz w:val="28"/>
      <w:szCs w:val="28"/>
    </w:rPr>
  </w:style>
  <w:style w:type="character" w:customStyle="1" w:styleId="60">
    <w:name w:val="Body Text Indent Char1"/>
    <w:qFormat/>
    <w:uiPriority w:val="0"/>
    <w:rPr>
      <w:rFonts w:ascii="宋体" w:cs="宋体"/>
      <w:sz w:val="28"/>
      <w:szCs w:val="28"/>
    </w:rPr>
  </w:style>
  <w:style w:type="character" w:customStyle="1" w:styleId="61">
    <w:name w:val="Header Char"/>
    <w:qFormat/>
    <w:uiPriority w:val="0"/>
    <w:rPr>
      <w:rFonts w:cs="Times New Roman"/>
      <w:kern w:val="2"/>
      <w:sz w:val="18"/>
      <w:szCs w:val="18"/>
    </w:rPr>
  </w:style>
  <w:style w:type="character" w:customStyle="1" w:styleId="62">
    <w:name w:val="标题 6 Char"/>
    <w:link w:val="8"/>
    <w:qFormat/>
    <w:uiPriority w:val="0"/>
    <w:rPr>
      <w:rFonts w:ascii="Arial" w:hAnsi="Arial" w:eastAsia="黑体" w:cs="Arial"/>
      <w:b/>
      <w:kern w:val="2"/>
      <w:sz w:val="24"/>
    </w:rPr>
  </w:style>
  <w:style w:type="character" w:customStyle="1" w:styleId="63">
    <w:name w:val="正文文本缩进 3 Char"/>
    <w:link w:val="30"/>
    <w:qFormat/>
    <w:uiPriority w:val="0"/>
    <w:rPr>
      <w:rFonts w:ascii="宋体" w:eastAsia="宋体" w:cs="宋体"/>
      <w:kern w:val="2"/>
      <w:sz w:val="24"/>
      <w:szCs w:val="24"/>
    </w:rPr>
  </w:style>
  <w:style w:type="character" w:customStyle="1" w:styleId="64">
    <w:name w:val="标题 1 Char"/>
    <w:link w:val="3"/>
    <w:qFormat/>
    <w:uiPriority w:val="0"/>
    <w:rPr>
      <w:rFonts w:ascii="宋体" w:cs="宋体"/>
      <w:b/>
      <w:bCs/>
      <w:kern w:val="44"/>
      <w:sz w:val="44"/>
      <w:szCs w:val="44"/>
    </w:rPr>
  </w:style>
  <w:style w:type="character" w:customStyle="1" w:styleId="65">
    <w:name w:val="style19"/>
    <w:qFormat/>
    <w:uiPriority w:val="0"/>
    <w:rPr>
      <w:rFonts w:ascii="Verdana" w:hAnsi="Verdana" w:eastAsia="仿宋_GB2312"/>
      <w:kern w:val="0"/>
      <w:sz w:val="24"/>
      <w:szCs w:val="20"/>
      <w:lang w:eastAsia="en-US"/>
    </w:rPr>
  </w:style>
  <w:style w:type="character" w:customStyle="1" w:styleId="66">
    <w:name w:val="Body Text Indent 3 Char1"/>
    <w:qFormat/>
    <w:uiPriority w:val="0"/>
    <w:rPr>
      <w:rFonts w:ascii="宋体" w:cs="宋体"/>
      <w:sz w:val="16"/>
      <w:szCs w:val="16"/>
    </w:rPr>
  </w:style>
  <w:style w:type="character" w:customStyle="1" w:styleId="67">
    <w:name w:val="Date Char1"/>
    <w:qFormat/>
    <w:uiPriority w:val="0"/>
    <w:rPr>
      <w:rFonts w:ascii="宋体" w:cs="宋体"/>
      <w:sz w:val="28"/>
      <w:szCs w:val="28"/>
    </w:rPr>
  </w:style>
  <w:style w:type="character" w:customStyle="1" w:styleId="68">
    <w:name w:val="日期 Char"/>
    <w:link w:val="22"/>
    <w:qFormat/>
    <w:uiPriority w:val="0"/>
    <w:rPr>
      <w:rFonts w:ascii="宋体" w:cs="宋体"/>
      <w:kern w:val="2"/>
      <w:sz w:val="24"/>
      <w:szCs w:val="24"/>
    </w:rPr>
  </w:style>
  <w:style w:type="character" w:customStyle="1" w:styleId="69">
    <w:name w:val="页脚 Char"/>
    <w:link w:val="25"/>
    <w:qFormat/>
    <w:uiPriority w:val="99"/>
    <w:rPr>
      <w:rFonts w:cs="Times New Roman"/>
      <w:kern w:val="2"/>
      <w:sz w:val="18"/>
      <w:szCs w:val="18"/>
    </w:rPr>
  </w:style>
  <w:style w:type="character" w:customStyle="1" w:styleId="70">
    <w:name w:val="Footer Char1"/>
    <w:qFormat/>
    <w:uiPriority w:val="0"/>
    <w:rPr>
      <w:rFonts w:ascii="宋体" w:cs="宋体"/>
      <w:sz w:val="18"/>
      <w:szCs w:val="18"/>
    </w:rPr>
  </w:style>
  <w:style w:type="character" w:customStyle="1" w:styleId="71">
    <w:name w:val="font11"/>
    <w:qFormat/>
    <w:uiPriority w:val="0"/>
    <w:rPr>
      <w:rFonts w:hint="eastAsia" w:ascii="微软雅黑" w:hAnsi="微软雅黑" w:eastAsia="微软雅黑" w:cs="微软雅黑"/>
      <w:b/>
      <w:color w:val="000000"/>
      <w:sz w:val="20"/>
      <w:szCs w:val="20"/>
      <w:u w:val="none"/>
    </w:rPr>
  </w:style>
  <w:style w:type="character" w:customStyle="1" w:styleId="72">
    <w:name w:val="GP正文(首行缩进) Char Char"/>
    <w:link w:val="73"/>
    <w:qFormat/>
    <w:uiPriority w:val="0"/>
    <w:rPr>
      <w:szCs w:val="21"/>
    </w:rPr>
  </w:style>
  <w:style w:type="paragraph" w:customStyle="1" w:styleId="73">
    <w:name w:val="GP正文(首行缩进)"/>
    <w:basedOn w:val="1"/>
    <w:link w:val="72"/>
    <w:qFormat/>
    <w:uiPriority w:val="0"/>
    <w:pPr>
      <w:spacing w:line="360" w:lineRule="auto"/>
      <w:jc w:val="left"/>
    </w:pPr>
    <w:rPr>
      <w:rFonts w:ascii="Times New Roman" w:cs="Times New Roman"/>
      <w:kern w:val="0"/>
      <w:sz w:val="20"/>
      <w:szCs w:val="21"/>
    </w:rPr>
  </w:style>
  <w:style w:type="character" w:customStyle="1" w:styleId="74">
    <w:name w:val="正文文本 2 Char"/>
    <w:link w:val="32"/>
    <w:qFormat/>
    <w:uiPriority w:val="0"/>
    <w:rPr>
      <w:rFonts w:ascii="宋体" w:cs="宋体"/>
      <w:kern w:val="2"/>
      <w:sz w:val="24"/>
      <w:szCs w:val="24"/>
    </w:rPr>
  </w:style>
  <w:style w:type="character" w:customStyle="1" w:styleId="75">
    <w:name w:val="font81"/>
    <w:qFormat/>
    <w:uiPriority w:val="0"/>
    <w:rPr>
      <w:rFonts w:ascii="Calibri" w:hAnsi="Calibri" w:cs="Calibri"/>
      <w:color w:val="000000"/>
      <w:sz w:val="24"/>
      <w:szCs w:val="24"/>
    </w:rPr>
  </w:style>
  <w:style w:type="character" w:customStyle="1" w:styleId="76">
    <w:name w:val="Plain Text Char1"/>
    <w:qFormat/>
    <w:uiPriority w:val="0"/>
    <w:rPr>
      <w:rFonts w:ascii="宋体" w:hAnsi="Courier New" w:cs="Courier New"/>
      <w:sz w:val="21"/>
      <w:szCs w:val="21"/>
    </w:rPr>
  </w:style>
  <w:style w:type="character" w:customStyle="1" w:styleId="77">
    <w:name w:val="style21"/>
    <w:basedOn w:val="39"/>
    <w:qFormat/>
    <w:uiPriority w:val="0"/>
  </w:style>
  <w:style w:type="character" w:customStyle="1" w:styleId="78">
    <w:name w:val="Body Text 2 Char1"/>
    <w:qFormat/>
    <w:uiPriority w:val="0"/>
    <w:rPr>
      <w:rFonts w:ascii="宋体" w:cs="宋体"/>
      <w:sz w:val="28"/>
      <w:szCs w:val="28"/>
    </w:rPr>
  </w:style>
  <w:style w:type="character" w:customStyle="1" w:styleId="79">
    <w:name w:val="标题 2 Char"/>
    <w:link w:val="4"/>
    <w:qFormat/>
    <w:uiPriority w:val="9"/>
    <w:rPr>
      <w:rFonts w:ascii="宋体" w:eastAsia="宋体" w:cs="宋体"/>
      <w:b/>
      <w:bCs/>
      <w:sz w:val="36"/>
      <w:szCs w:val="36"/>
    </w:rPr>
  </w:style>
  <w:style w:type="character" w:customStyle="1" w:styleId="80">
    <w:name w:val="Title Char1"/>
    <w:qFormat/>
    <w:uiPriority w:val="0"/>
    <w:rPr>
      <w:rFonts w:ascii="Cambria" w:hAnsi="Cambria" w:cs="Times New Roman"/>
      <w:b/>
      <w:bCs/>
      <w:sz w:val="32"/>
      <w:szCs w:val="32"/>
    </w:rPr>
  </w:style>
  <w:style w:type="character" w:customStyle="1" w:styleId="81">
    <w:name w:val="unnamed11"/>
    <w:qFormat/>
    <w:uiPriority w:val="0"/>
    <w:rPr>
      <w:rFonts w:cs="Times New Roman"/>
      <w:spacing w:val="340"/>
      <w:sz w:val="18"/>
      <w:szCs w:val="18"/>
    </w:rPr>
  </w:style>
  <w:style w:type="character" w:customStyle="1" w:styleId="82">
    <w:name w:val="font21"/>
    <w:qFormat/>
    <w:uiPriority w:val="0"/>
    <w:rPr>
      <w:rFonts w:hint="eastAsia" w:ascii="微软雅黑" w:hAnsi="微软雅黑" w:eastAsia="微软雅黑" w:cs="微软雅黑"/>
      <w:color w:val="000000"/>
      <w:sz w:val="20"/>
      <w:szCs w:val="20"/>
      <w:u w:val="none"/>
    </w:rPr>
  </w:style>
  <w:style w:type="character" w:customStyle="1" w:styleId="83">
    <w:name w:val="Body Text Indent 2 Char1"/>
    <w:qFormat/>
    <w:uiPriority w:val="0"/>
    <w:rPr>
      <w:rFonts w:ascii="宋体" w:cs="宋体"/>
      <w:sz w:val="28"/>
      <w:szCs w:val="28"/>
    </w:rPr>
  </w:style>
  <w:style w:type="character" w:customStyle="1" w:styleId="84">
    <w:name w:val="列出段落 Char1"/>
    <w:link w:val="85"/>
    <w:qFormat/>
    <w:locked/>
    <w:uiPriority w:val="0"/>
    <w:rPr>
      <w:kern w:val="2"/>
      <w:sz w:val="21"/>
      <w:szCs w:val="21"/>
    </w:rPr>
  </w:style>
  <w:style w:type="paragraph" w:styleId="85">
    <w:name w:val="List Paragraph"/>
    <w:basedOn w:val="1"/>
    <w:link w:val="84"/>
    <w:qFormat/>
    <w:uiPriority w:val="34"/>
    <w:pPr>
      <w:ind w:firstLine="420" w:firstLineChars="200"/>
    </w:pPr>
    <w:rPr>
      <w:rFonts w:ascii="Times New Roman" w:cs="Times New Roman"/>
      <w:sz w:val="21"/>
      <w:szCs w:val="21"/>
    </w:rPr>
  </w:style>
  <w:style w:type="character" w:customStyle="1" w:styleId="86">
    <w:name w:val="tcnt2"/>
    <w:basedOn w:val="39"/>
    <w:qFormat/>
    <w:uiPriority w:val="0"/>
  </w:style>
  <w:style w:type="character" w:customStyle="1" w:styleId="87">
    <w:name w:val="文档结构图 Char"/>
    <w:link w:val="15"/>
    <w:semiHidden/>
    <w:qFormat/>
    <w:uiPriority w:val="0"/>
    <w:rPr>
      <w:rFonts w:ascii="Calibri" w:hAnsi="Calibri"/>
      <w:kern w:val="2"/>
      <w:sz w:val="21"/>
      <w:szCs w:val="22"/>
      <w:shd w:val="clear" w:color="auto" w:fill="000080"/>
    </w:rPr>
  </w:style>
  <w:style w:type="character" w:customStyle="1" w:styleId="88">
    <w:name w:val="无间隔 Char"/>
    <w:link w:val="89"/>
    <w:qFormat/>
    <w:uiPriority w:val="1"/>
    <w:rPr>
      <w:kern w:val="2"/>
      <w:sz w:val="21"/>
      <w:szCs w:val="22"/>
      <w:lang w:val="en-US" w:eastAsia="zh-CN" w:bidi="ar-SA"/>
    </w:rPr>
  </w:style>
  <w:style w:type="paragraph" w:customStyle="1" w:styleId="89">
    <w:name w:val="无间隔1"/>
    <w:link w:val="88"/>
    <w:qFormat/>
    <w:uiPriority w:val="1"/>
    <w:pPr>
      <w:widowControl w:val="0"/>
      <w:jc w:val="both"/>
    </w:pPr>
    <w:rPr>
      <w:rFonts w:ascii="Times New Roman" w:hAnsi="Times New Roman" w:eastAsia="宋体" w:cs="Times New Roman"/>
      <w:kern w:val="2"/>
      <w:sz w:val="21"/>
      <w:szCs w:val="22"/>
      <w:lang w:val="en-US" w:eastAsia="zh-CN" w:bidi="ar-SA"/>
    </w:rPr>
  </w:style>
  <w:style w:type="character" w:customStyle="1" w:styleId="90">
    <w:name w:val="批注文字 Char"/>
    <w:link w:val="16"/>
    <w:qFormat/>
    <w:uiPriority w:val="99"/>
    <w:rPr>
      <w:rFonts w:ascii="宋体" w:cs="宋体"/>
      <w:kern w:val="2"/>
      <w:sz w:val="24"/>
      <w:szCs w:val="24"/>
    </w:rPr>
  </w:style>
  <w:style w:type="character" w:customStyle="1" w:styleId="91">
    <w:name w:val="标题 8 Char"/>
    <w:link w:val="10"/>
    <w:qFormat/>
    <w:uiPriority w:val="0"/>
    <w:rPr>
      <w:rFonts w:ascii="Arial" w:hAnsi="Arial" w:eastAsia="黑体" w:cs="Arial"/>
      <w:kern w:val="2"/>
      <w:sz w:val="24"/>
    </w:rPr>
  </w:style>
  <w:style w:type="character" w:customStyle="1" w:styleId="92">
    <w:name w:val="apple-converted-space"/>
    <w:basedOn w:val="39"/>
    <w:qFormat/>
    <w:uiPriority w:val="0"/>
  </w:style>
  <w:style w:type="character" w:customStyle="1" w:styleId="93">
    <w:name w:val="批注框文本 Char"/>
    <w:link w:val="24"/>
    <w:qFormat/>
    <w:uiPriority w:val="99"/>
    <w:rPr>
      <w:rFonts w:ascii="宋体" w:cs="宋体"/>
      <w:kern w:val="2"/>
      <w:sz w:val="18"/>
      <w:szCs w:val="18"/>
    </w:rPr>
  </w:style>
  <w:style w:type="character" w:customStyle="1" w:styleId="94">
    <w:name w:val="副标题 Char"/>
    <w:link w:val="28"/>
    <w:qFormat/>
    <w:uiPriority w:val="0"/>
    <w:rPr>
      <w:rFonts w:ascii="Cambria" w:hAnsi="Cambria"/>
      <w:b/>
      <w:kern w:val="28"/>
      <w:sz w:val="32"/>
    </w:rPr>
  </w:style>
  <w:style w:type="character" w:customStyle="1" w:styleId="95">
    <w:name w:val="纯文本 Char"/>
    <w:link w:val="21"/>
    <w:qFormat/>
    <w:uiPriority w:val="0"/>
    <w:rPr>
      <w:rFonts w:ascii="宋体" w:hAnsi="Courier New" w:cs="宋体"/>
      <w:kern w:val="2"/>
      <w:sz w:val="21"/>
      <w:szCs w:val="21"/>
    </w:rPr>
  </w:style>
  <w:style w:type="character" w:customStyle="1" w:styleId="96">
    <w:name w:val="页眉 Char"/>
    <w:link w:val="26"/>
    <w:qFormat/>
    <w:uiPriority w:val="99"/>
    <w:rPr>
      <w:rFonts w:ascii="宋体" w:cs="宋体"/>
      <w:sz w:val="18"/>
      <w:szCs w:val="18"/>
    </w:rPr>
  </w:style>
  <w:style w:type="character" w:customStyle="1" w:styleId="97">
    <w:name w:val="2级标题 Char Char"/>
    <w:link w:val="98"/>
    <w:qFormat/>
    <w:uiPriority w:val="0"/>
    <w:rPr>
      <w:rFonts w:ascii="宋体" w:eastAsia="宋体" w:cs="宋体"/>
      <w:b/>
      <w:bCs/>
      <w:color w:val="000000"/>
      <w:kern w:val="2"/>
      <w:sz w:val="24"/>
      <w:szCs w:val="24"/>
    </w:rPr>
  </w:style>
  <w:style w:type="paragraph" w:customStyle="1" w:styleId="98">
    <w:name w:val="2级标题"/>
    <w:basedOn w:val="1"/>
    <w:link w:val="97"/>
    <w:qFormat/>
    <w:uiPriority w:val="0"/>
    <w:pPr>
      <w:spacing w:line="480" w:lineRule="exact"/>
      <w:ind w:firstLine="482" w:firstLineChars="200"/>
    </w:pPr>
    <w:rPr>
      <w:rFonts w:cs="Times New Roman"/>
      <w:b/>
      <w:bCs/>
      <w:color w:val="000000"/>
      <w:sz w:val="24"/>
      <w:szCs w:val="24"/>
    </w:rPr>
  </w:style>
  <w:style w:type="character" w:customStyle="1" w:styleId="99">
    <w:name w:val="批注主题 Char"/>
    <w:link w:val="35"/>
    <w:qFormat/>
    <w:uiPriority w:val="99"/>
    <w:rPr>
      <w:rFonts w:ascii="宋体" w:cs="宋体"/>
      <w:b/>
      <w:bCs/>
      <w:kern w:val="2"/>
      <w:sz w:val="28"/>
      <w:szCs w:val="28"/>
    </w:rPr>
  </w:style>
  <w:style w:type="character" w:customStyle="1" w:styleId="100">
    <w:name w:val="style91"/>
    <w:qFormat/>
    <w:uiPriority w:val="0"/>
    <w:rPr>
      <w:b/>
      <w:bCs/>
      <w:color w:val="0000FF"/>
    </w:rPr>
  </w:style>
  <w:style w:type="character" w:customStyle="1" w:styleId="101">
    <w:name w:val="标题 9 Char"/>
    <w:link w:val="11"/>
    <w:qFormat/>
    <w:uiPriority w:val="0"/>
    <w:rPr>
      <w:rFonts w:ascii="Arial" w:hAnsi="Arial" w:eastAsia="黑体" w:cs="Arial"/>
      <w:kern w:val="2"/>
      <w:sz w:val="21"/>
    </w:rPr>
  </w:style>
  <w:style w:type="character" w:customStyle="1" w:styleId="102">
    <w:name w:val="Subtitle Char1"/>
    <w:qFormat/>
    <w:uiPriority w:val="0"/>
    <w:rPr>
      <w:rFonts w:ascii="Cambria" w:hAnsi="Cambria" w:cs="Times New Roman"/>
      <w:b/>
      <w:bCs/>
      <w:kern w:val="28"/>
      <w:sz w:val="32"/>
      <w:szCs w:val="32"/>
    </w:rPr>
  </w:style>
  <w:style w:type="character" w:customStyle="1" w:styleId="103">
    <w:name w:val="列出段落 Char"/>
    <w:link w:val="104"/>
    <w:qFormat/>
    <w:uiPriority w:val="0"/>
    <w:rPr>
      <w:rFonts w:ascii="Calibri" w:hAnsi="Calibri"/>
    </w:rPr>
  </w:style>
  <w:style w:type="paragraph" w:customStyle="1" w:styleId="104">
    <w:name w:val="列出段落2"/>
    <w:basedOn w:val="1"/>
    <w:link w:val="103"/>
    <w:qFormat/>
    <w:uiPriority w:val="0"/>
    <w:pPr>
      <w:ind w:firstLine="420" w:firstLineChars="200"/>
    </w:pPr>
    <w:rPr>
      <w:rFonts w:ascii="Calibri" w:hAnsi="Calibri" w:cs="Times New Roman"/>
      <w:kern w:val="0"/>
      <w:sz w:val="20"/>
      <w:szCs w:val="20"/>
    </w:rPr>
  </w:style>
  <w:style w:type="character" w:customStyle="1" w:styleId="105">
    <w:name w:val="标题 3 Char"/>
    <w:link w:val="5"/>
    <w:qFormat/>
    <w:uiPriority w:val="9"/>
    <w:rPr>
      <w:rFonts w:eastAsia="黑体" w:cs="Times New Roman"/>
      <w:kern w:val="2"/>
      <w:sz w:val="32"/>
      <w:szCs w:val="32"/>
    </w:rPr>
  </w:style>
  <w:style w:type="paragraph" w:customStyle="1" w:styleId="106">
    <w:name w:val="font7"/>
    <w:basedOn w:val="1"/>
    <w:qFormat/>
    <w:uiPriority w:val="0"/>
    <w:pPr>
      <w:widowControl/>
      <w:spacing w:before="100" w:beforeAutospacing="1" w:after="100" w:afterAutospacing="1"/>
      <w:jc w:val="left"/>
    </w:pPr>
    <w:rPr>
      <w:rFonts w:hAnsi="宋体"/>
      <w:kern w:val="0"/>
    </w:rPr>
  </w:style>
  <w:style w:type="paragraph" w:customStyle="1" w:styleId="107">
    <w:name w:val="font5"/>
    <w:basedOn w:val="1"/>
    <w:qFormat/>
    <w:uiPriority w:val="0"/>
    <w:pPr>
      <w:widowControl/>
      <w:spacing w:before="100" w:beforeAutospacing="1" w:after="100" w:afterAutospacing="1"/>
      <w:jc w:val="left"/>
    </w:pPr>
    <w:rPr>
      <w:rFonts w:hAnsi="宋体"/>
      <w:kern w:val="0"/>
      <w:sz w:val="24"/>
      <w:szCs w:val="24"/>
    </w:rPr>
  </w:style>
  <w:style w:type="paragraph" w:customStyle="1" w:styleId="108">
    <w:name w:val="CBD标题3"/>
    <w:basedOn w:val="1"/>
    <w:next w:val="1"/>
    <w:qFormat/>
    <w:uiPriority w:val="0"/>
    <w:pPr>
      <w:outlineLvl w:val="2"/>
    </w:pPr>
    <w:rPr>
      <w:rFonts w:ascii="Times New Roman" w:cs="Times New Roman"/>
      <w:b/>
      <w:sz w:val="30"/>
      <w:szCs w:val="24"/>
    </w:rPr>
  </w:style>
  <w:style w:type="paragraph" w:customStyle="1" w:styleId="109">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Times New Roman" w:cs="Times New Roman"/>
      <w:kern w:val="0"/>
      <w:sz w:val="20"/>
      <w:szCs w:val="20"/>
    </w:rPr>
  </w:style>
  <w:style w:type="paragraph" w:customStyle="1" w:styleId="110">
    <w:name w:val="默认段落字体 Para Char"/>
    <w:basedOn w:val="1"/>
    <w:qFormat/>
    <w:uiPriority w:val="0"/>
    <w:rPr>
      <w:rFonts w:ascii="Times New Roman" w:cs="Times New Roman"/>
      <w:sz w:val="21"/>
      <w:szCs w:val="24"/>
    </w:rPr>
  </w:style>
  <w:style w:type="paragraph" w:customStyle="1" w:styleId="111">
    <w:name w:val="Char Char Char Char Char Char Char"/>
    <w:basedOn w:val="1"/>
    <w:qFormat/>
    <w:uiPriority w:val="0"/>
    <w:pPr>
      <w:keepNext/>
      <w:keepLines/>
      <w:pageBreakBefore/>
      <w:tabs>
        <w:tab w:val="left" w:pos="420"/>
      </w:tabs>
      <w:ind w:left="420" w:firstLine="200" w:firstLineChars="200"/>
    </w:pPr>
    <w:rPr>
      <w:rFonts w:ascii="Tahoma" w:hAnsi="Tahoma" w:cs="Times New Roman"/>
      <w:sz w:val="24"/>
      <w:szCs w:val="20"/>
    </w:rPr>
  </w:style>
  <w:style w:type="paragraph" w:customStyle="1" w:styleId="112">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Arial Unicode MS" w:hAnsi="Arial Unicode MS" w:cs="Arial Unicode MS"/>
      <w:kern w:val="0"/>
      <w:sz w:val="20"/>
      <w:szCs w:val="20"/>
    </w:rPr>
  </w:style>
  <w:style w:type="paragraph" w:customStyle="1" w:styleId="113">
    <w:name w:val="font10"/>
    <w:basedOn w:val="1"/>
    <w:qFormat/>
    <w:uiPriority w:val="0"/>
    <w:pPr>
      <w:widowControl/>
      <w:spacing w:before="100" w:beforeAutospacing="1" w:after="100" w:afterAutospacing="1"/>
      <w:jc w:val="left"/>
    </w:pPr>
    <w:rPr>
      <w:rFonts w:ascii="Times New Roman" w:cs="Times New Roman"/>
      <w:kern w:val="0"/>
    </w:rPr>
  </w:style>
  <w:style w:type="paragraph" w:customStyle="1" w:styleId="114">
    <w:name w:val="默认段落字体 Para Char Char Char Char Char Char Char Char Char Char Char Char Char Char Char Char"/>
    <w:basedOn w:val="1"/>
    <w:qFormat/>
    <w:uiPriority w:val="0"/>
  </w:style>
  <w:style w:type="paragraph" w:customStyle="1" w:styleId="115">
    <w:name w:val="Char Char Char"/>
    <w:basedOn w:val="1"/>
    <w:qFormat/>
    <w:uiPriority w:val="0"/>
    <w:rPr>
      <w:rFonts w:ascii="Tahoma" w:hAnsi="Tahoma" w:cs="Times New Roman"/>
      <w:sz w:val="24"/>
      <w:szCs w:val="20"/>
    </w:rPr>
  </w:style>
  <w:style w:type="paragraph" w:customStyle="1" w:styleId="116">
    <w:name w:val="1正文"/>
    <w:basedOn w:val="1"/>
    <w:qFormat/>
    <w:uiPriority w:val="0"/>
    <w:pPr>
      <w:widowControl/>
      <w:spacing w:before="10" w:beforeLines="10" w:after="10" w:afterLines="10" w:line="360" w:lineRule="auto"/>
      <w:ind w:firstLine="200" w:firstLineChars="200"/>
      <w:jc w:val="left"/>
      <w:textAlignment w:val="baseline"/>
    </w:pPr>
    <w:rPr>
      <w:rFonts w:ascii="Times New Roman"/>
      <w:sz w:val="24"/>
    </w:rPr>
  </w:style>
  <w:style w:type="paragraph" w:customStyle="1" w:styleId="117">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Times New Roman" w:cs="Times New Roman"/>
      <w:kern w:val="0"/>
      <w:sz w:val="20"/>
      <w:szCs w:val="20"/>
    </w:rPr>
  </w:style>
  <w:style w:type="paragraph" w:customStyle="1" w:styleId="118">
    <w:name w:val="1.正文"/>
    <w:basedOn w:val="1"/>
    <w:qFormat/>
    <w:uiPriority w:val="0"/>
    <w:pPr>
      <w:spacing w:line="360" w:lineRule="auto"/>
      <w:ind w:left="425" w:hanging="425"/>
    </w:pPr>
    <w:rPr>
      <w:rFonts w:ascii="Times New Roman" w:cs="Times New Roman"/>
      <w:sz w:val="24"/>
      <w:szCs w:val="24"/>
    </w:rPr>
  </w:style>
  <w:style w:type="paragraph" w:customStyle="1" w:styleId="119">
    <w:name w:val="TOC 标题1"/>
    <w:basedOn w:val="3"/>
    <w:next w:val="1"/>
    <w:qFormat/>
    <w:uiPriority w:val="0"/>
    <w:pPr>
      <w:widowControl/>
      <w:spacing w:before="480" w:line="276" w:lineRule="auto"/>
      <w:jc w:val="left"/>
      <w:outlineLvl w:val="9"/>
    </w:pPr>
    <w:rPr>
      <w:rFonts w:ascii="Cambria" w:hAnsi="Cambria" w:cs="Cambria"/>
      <w:color w:val="365F91"/>
      <w:kern w:val="0"/>
      <w:sz w:val="28"/>
      <w:szCs w:val="28"/>
    </w:rPr>
  </w:style>
  <w:style w:type="paragraph" w:customStyle="1" w:styleId="120">
    <w:name w:val="表格"/>
    <w:basedOn w:val="1"/>
    <w:qFormat/>
    <w:uiPriority w:val="0"/>
    <w:pPr>
      <w:spacing w:line="360" w:lineRule="auto"/>
      <w:ind w:left="-108" w:right="-108"/>
      <w:jc w:val="center"/>
    </w:pPr>
    <w:rPr>
      <w:rFonts w:ascii="Times New Roman" w:cs="Times New Roman"/>
      <w:sz w:val="24"/>
      <w:szCs w:val="20"/>
    </w:rPr>
  </w:style>
  <w:style w:type="paragraph" w:customStyle="1" w:styleId="121">
    <w:name w:val="xl30"/>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cs="Arial Unicode MS"/>
      <w:kern w:val="0"/>
      <w:sz w:val="22"/>
      <w:szCs w:val="22"/>
    </w:rPr>
  </w:style>
  <w:style w:type="paragraph" w:customStyle="1" w:styleId="122">
    <w:name w:val="È¡ÀÊ¡ÎÄ¡À¾"/>
    <w:basedOn w:val="1"/>
    <w:qFormat/>
    <w:uiPriority w:val="0"/>
    <w:pPr>
      <w:widowControl/>
      <w:overflowPunct w:val="0"/>
      <w:autoSpaceDE w:val="0"/>
      <w:autoSpaceDN w:val="0"/>
      <w:adjustRightInd w:val="0"/>
      <w:jc w:val="left"/>
      <w:textAlignment w:val="baseline"/>
    </w:pPr>
    <w:rPr>
      <w:kern w:val="0"/>
      <w:sz w:val="24"/>
      <w:szCs w:val="24"/>
    </w:rPr>
  </w:style>
  <w:style w:type="paragraph" w:customStyle="1" w:styleId="123">
    <w:name w:val="xl28"/>
    <w:basedOn w:val="1"/>
    <w:qFormat/>
    <w:uiPriority w:val="0"/>
    <w:pPr>
      <w:widowControl/>
      <w:pBdr>
        <w:top w:val="single" w:color="auto" w:sz="4" w:space="0"/>
        <w:left w:val="single" w:color="auto" w:sz="4" w:space="0"/>
        <w:bottom w:val="single" w:color="auto" w:sz="4" w:space="0"/>
      </w:pBdr>
      <w:spacing w:before="100" w:beforeAutospacing="1" w:after="100" w:afterAutospacing="1"/>
      <w:jc w:val="right"/>
      <w:textAlignment w:val="center"/>
    </w:pPr>
    <w:rPr>
      <w:rFonts w:ascii="Arial Unicode MS" w:hAnsi="Arial Unicode MS" w:cs="Arial Unicode MS"/>
      <w:kern w:val="0"/>
      <w:sz w:val="22"/>
      <w:szCs w:val="22"/>
    </w:rPr>
  </w:style>
  <w:style w:type="paragraph" w:customStyle="1" w:styleId="124">
    <w:name w:val="11正文"/>
    <w:basedOn w:val="1"/>
    <w:qFormat/>
    <w:uiPriority w:val="0"/>
    <w:pPr>
      <w:widowControl/>
      <w:spacing w:beforeLines="10" w:afterLines="10" w:line="360" w:lineRule="auto"/>
      <w:ind w:firstLine="200" w:firstLineChars="200"/>
      <w:jc w:val="left"/>
      <w:textAlignment w:val="baseline"/>
    </w:pPr>
    <w:rPr>
      <w:rFonts w:ascii="Times New Roman"/>
      <w:kern w:val="0"/>
      <w:sz w:val="24"/>
    </w:rPr>
  </w:style>
  <w:style w:type="paragraph" w:customStyle="1" w:styleId="125">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cs="Arial Unicode MS"/>
      <w:kern w:val="0"/>
      <w:sz w:val="20"/>
      <w:szCs w:val="20"/>
    </w:rPr>
  </w:style>
  <w:style w:type="paragraph" w:customStyle="1" w:styleId="126">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cs="Times New Roman"/>
      <w:kern w:val="0"/>
      <w:sz w:val="20"/>
      <w:szCs w:val="20"/>
    </w:rPr>
  </w:style>
  <w:style w:type="paragraph" w:customStyle="1" w:styleId="127">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cs="Arial Unicode MS"/>
      <w:kern w:val="0"/>
      <w:sz w:val="20"/>
      <w:szCs w:val="20"/>
    </w:rPr>
  </w:style>
  <w:style w:type="paragraph" w:customStyle="1" w:styleId="128">
    <w:name w:val="font8"/>
    <w:basedOn w:val="1"/>
    <w:qFormat/>
    <w:uiPriority w:val="0"/>
    <w:pPr>
      <w:widowControl/>
      <w:spacing w:before="100" w:beforeAutospacing="1" w:after="100" w:afterAutospacing="1"/>
      <w:jc w:val="left"/>
    </w:pPr>
    <w:rPr>
      <w:rFonts w:hAnsi="宋体"/>
      <w:kern w:val="0"/>
      <w:sz w:val="20"/>
      <w:szCs w:val="20"/>
    </w:rPr>
  </w:style>
  <w:style w:type="paragraph" w:customStyle="1" w:styleId="129">
    <w:name w:val="xl29"/>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Arial Unicode MS" w:hAnsi="Arial Unicode MS" w:cs="Arial Unicode MS"/>
      <w:kern w:val="0"/>
      <w:sz w:val="22"/>
      <w:szCs w:val="22"/>
    </w:rPr>
  </w:style>
  <w:style w:type="paragraph" w:customStyle="1" w:styleId="130">
    <w:name w:val="xl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cs="Times New Roman"/>
      <w:kern w:val="0"/>
    </w:rPr>
  </w:style>
  <w:style w:type="paragraph" w:customStyle="1" w:styleId="131">
    <w:name w:val="xl47"/>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Times New Roman" w:cs="Times New Roman"/>
      <w:kern w:val="0"/>
      <w:sz w:val="24"/>
      <w:szCs w:val="24"/>
    </w:rPr>
  </w:style>
  <w:style w:type="paragraph" w:customStyle="1" w:styleId="132">
    <w:name w:val="xl4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cs="Times New Roman"/>
      <w:kern w:val="0"/>
      <w:sz w:val="24"/>
      <w:szCs w:val="24"/>
    </w:rPr>
  </w:style>
  <w:style w:type="paragraph" w:customStyle="1" w:styleId="133">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cs="Arial Unicode MS"/>
      <w:kern w:val="0"/>
      <w:sz w:val="24"/>
      <w:szCs w:val="24"/>
    </w:rPr>
  </w:style>
  <w:style w:type="paragraph" w:customStyle="1" w:styleId="134">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cs="Times New Roman"/>
      <w:kern w:val="0"/>
      <w:sz w:val="24"/>
      <w:szCs w:val="24"/>
    </w:rPr>
  </w:style>
  <w:style w:type="paragraph" w:customStyle="1" w:styleId="135">
    <w:name w:val="0正文"/>
    <w:basedOn w:val="1"/>
    <w:qFormat/>
    <w:uiPriority w:val="0"/>
    <w:pPr>
      <w:widowControl/>
      <w:spacing w:beforeLines="10" w:afterLines="10" w:line="360" w:lineRule="auto"/>
      <w:ind w:firstLine="480" w:firstLineChars="200"/>
      <w:jc w:val="left"/>
      <w:textAlignment w:val="baseline"/>
    </w:pPr>
    <w:rPr>
      <w:rFonts w:ascii="Times New Roman"/>
      <w:kern w:val="0"/>
      <w:sz w:val="24"/>
    </w:rPr>
  </w:style>
  <w:style w:type="paragraph" w:customStyle="1" w:styleId="136">
    <w:name w:val="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137">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cs="Times New Roman"/>
      <w:kern w:val="0"/>
      <w:sz w:val="22"/>
      <w:szCs w:val="22"/>
    </w:rPr>
  </w:style>
  <w:style w:type="paragraph" w:customStyle="1" w:styleId="138">
    <w:name w:val="xl44"/>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Times New Roman" w:cs="Times New Roman"/>
      <w:b/>
      <w:bCs/>
      <w:kern w:val="0"/>
      <w:sz w:val="24"/>
      <w:szCs w:val="24"/>
    </w:rPr>
  </w:style>
  <w:style w:type="paragraph" w:customStyle="1" w:styleId="139">
    <w:name w:val="xl45"/>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Arial Unicode MS" w:hAnsi="Arial Unicode MS" w:cs="Arial Unicode MS"/>
      <w:kern w:val="0"/>
    </w:rPr>
  </w:style>
  <w:style w:type="paragraph" w:customStyle="1" w:styleId="140">
    <w:name w:val="xl4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cs="Times New Roman"/>
      <w:kern w:val="0"/>
      <w:sz w:val="20"/>
      <w:szCs w:val="20"/>
    </w:rPr>
  </w:style>
  <w:style w:type="paragraph" w:customStyle="1" w:styleId="141">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cs="Arial Unicode MS"/>
      <w:kern w:val="0"/>
    </w:rPr>
  </w:style>
  <w:style w:type="paragraph" w:customStyle="1" w:styleId="142">
    <w:name w:val="List Paragraph1"/>
    <w:basedOn w:val="1"/>
    <w:qFormat/>
    <w:uiPriority w:val="0"/>
    <w:pPr>
      <w:ind w:firstLine="420" w:firstLineChars="200"/>
    </w:pPr>
    <w:rPr>
      <w:rFonts w:ascii="Calibri" w:hAnsi="Calibri" w:cs="Times New Roman"/>
      <w:sz w:val="21"/>
      <w:szCs w:val="22"/>
    </w:rPr>
  </w:style>
  <w:style w:type="paragraph" w:customStyle="1" w:styleId="143">
    <w:name w:val="_Style 2"/>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144">
    <w:name w:val="font9"/>
    <w:basedOn w:val="1"/>
    <w:qFormat/>
    <w:uiPriority w:val="0"/>
    <w:pPr>
      <w:widowControl/>
      <w:spacing w:before="100" w:beforeAutospacing="1" w:after="100" w:afterAutospacing="1"/>
      <w:jc w:val="left"/>
    </w:pPr>
    <w:rPr>
      <w:rFonts w:ascii="Times New Roman" w:cs="Times New Roman"/>
      <w:kern w:val="0"/>
      <w:sz w:val="20"/>
      <w:szCs w:val="20"/>
    </w:rPr>
  </w:style>
  <w:style w:type="paragraph" w:customStyle="1" w:styleId="145">
    <w:name w:val="列出段落1"/>
    <w:basedOn w:val="1"/>
    <w:qFormat/>
    <w:uiPriority w:val="0"/>
    <w:pPr>
      <w:ind w:firstLine="420" w:firstLineChars="200"/>
    </w:pPr>
    <w:rPr>
      <w:rFonts w:ascii="Calibri" w:hAnsi="Calibri" w:cs="Times New Roman"/>
      <w:sz w:val="21"/>
      <w:szCs w:val="22"/>
    </w:rPr>
  </w:style>
  <w:style w:type="paragraph" w:customStyle="1" w:styleId="146">
    <w:name w:val="Char1"/>
    <w:basedOn w:val="1"/>
    <w:qFormat/>
    <w:uiPriority w:val="0"/>
    <w:rPr>
      <w:rFonts w:ascii="Tahoma" w:hAnsi="Tahoma" w:cs="Times New Roman"/>
      <w:sz w:val="24"/>
      <w:szCs w:val="20"/>
    </w:rPr>
  </w:style>
  <w:style w:type="paragraph" w:customStyle="1" w:styleId="147">
    <w:name w:val="hei"/>
    <w:basedOn w:val="1"/>
    <w:qFormat/>
    <w:uiPriority w:val="0"/>
    <w:pPr>
      <w:widowControl/>
      <w:spacing w:before="100" w:beforeAutospacing="1" w:after="100" w:afterAutospacing="1"/>
      <w:jc w:val="left"/>
    </w:pPr>
    <w:rPr>
      <w:rFonts w:hAnsi="宋体"/>
      <w:kern w:val="0"/>
      <w:sz w:val="24"/>
      <w:szCs w:val="24"/>
    </w:rPr>
  </w:style>
  <w:style w:type="paragraph" w:customStyle="1" w:styleId="148">
    <w:name w:val="xl41"/>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cs="Arial Unicode MS"/>
      <w:kern w:val="0"/>
      <w:sz w:val="24"/>
      <w:szCs w:val="24"/>
    </w:rPr>
  </w:style>
  <w:style w:type="paragraph" w:customStyle="1" w:styleId="149">
    <w:name w:val="Char Char14"/>
    <w:basedOn w:val="1"/>
    <w:qFormat/>
    <w:uiPriority w:val="0"/>
    <w:pPr>
      <w:spacing w:line="360" w:lineRule="auto"/>
      <w:ind w:firstLine="200" w:firstLineChars="200"/>
    </w:pPr>
    <w:rPr>
      <w:rFonts w:cs="Times New Roman"/>
      <w:bCs/>
      <w:szCs w:val="24"/>
    </w:rPr>
  </w:style>
  <w:style w:type="paragraph" w:customStyle="1" w:styleId="150">
    <w:name w:val="font6"/>
    <w:basedOn w:val="1"/>
    <w:qFormat/>
    <w:uiPriority w:val="0"/>
    <w:pPr>
      <w:widowControl/>
      <w:spacing w:before="100" w:beforeAutospacing="1" w:after="100" w:afterAutospacing="1"/>
      <w:jc w:val="left"/>
    </w:pPr>
    <w:rPr>
      <w:rFonts w:hAnsi="宋体"/>
      <w:kern w:val="0"/>
      <w:sz w:val="18"/>
      <w:szCs w:val="18"/>
    </w:rPr>
  </w:style>
  <w:style w:type="paragraph" w:customStyle="1" w:styleId="151">
    <w:name w:val="正文 + 楷体_GB2312"/>
    <w:basedOn w:val="1"/>
    <w:qFormat/>
    <w:uiPriority w:val="0"/>
    <w:pPr>
      <w:snapToGrid w:val="0"/>
      <w:spacing w:line="480" w:lineRule="exact"/>
      <w:ind w:firstLine="480" w:firstLineChars="200"/>
    </w:pPr>
    <w:rPr>
      <w:rFonts w:ascii="楷体_GB2312" w:eastAsia="楷体_GB2312" w:cs="Times New Roman"/>
      <w:sz w:val="24"/>
      <w:szCs w:val="24"/>
    </w:rPr>
  </w:style>
  <w:style w:type="paragraph" w:customStyle="1" w:styleId="152">
    <w:name w:val="Char Char Char1 Char8"/>
    <w:basedOn w:val="1"/>
    <w:qFormat/>
    <w:uiPriority w:val="0"/>
    <w:pPr>
      <w:spacing w:line="360" w:lineRule="auto"/>
      <w:ind w:firstLine="200" w:firstLineChars="200"/>
    </w:pPr>
  </w:style>
  <w:style w:type="paragraph" w:customStyle="1" w:styleId="153">
    <w:name w:val="xl46"/>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cs="Arial Unicode MS"/>
      <w:kern w:val="0"/>
    </w:rPr>
  </w:style>
  <w:style w:type="paragraph" w:customStyle="1" w:styleId="154">
    <w:name w:val="p0"/>
    <w:basedOn w:val="1"/>
    <w:qFormat/>
    <w:uiPriority w:val="0"/>
    <w:pPr>
      <w:widowControl/>
      <w:spacing w:before="100" w:beforeAutospacing="1" w:after="100" w:afterAutospacing="1"/>
      <w:jc w:val="left"/>
    </w:pPr>
    <w:rPr>
      <w:rFonts w:hAnsi="宋体"/>
      <w:kern w:val="0"/>
      <w:sz w:val="24"/>
      <w:szCs w:val="24"/>
    </w:rPr>
  </w:style>
  <w:style w:type="paragraph" w:customStyle="1" w:styleId="155">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cs="Arial Unicode MS"/>
      <w:kern w:val="0"/>
      <w:sz w:val="22"/>
      <w:szCs w:val="22"/>
    </w:rPr>
  </w:style>
  <w:style w:type="paragraph" w:customStyle="1" w:styleId="156">
    <w:name w:val="p15"/>
    <w:basedOn w:val="1"/>
    <w:qFormat/>
    <w:uiPriority w:val="0"/>
    <w:pPr>
      <w:widowControl/>
    </w:pPr>
    <w:rPr>
      <w:rFonts w:ascii="Times New Roman" w:cs="Times New Roman"/>
      <w:kern w:val="0"/>
      <w:sz w:val="21"/>
      <w:szCs w:val="21"/>
    </w:rPr>
  </w:style>
  <w:style w:type="character" w:customStyle="1" w:styleId="157">
    <w:name w:val="正文文本首行缩进 字符"/>
    <w:qFormat/>
    <w:uiPriority w:val="99"/>
    <w:rPr>
      <w:kern w:val="2"/>
      <w:sz w:val="21"/>
      <w:szCs w:val="24"/>
    </w:rPr>
  </w:style>
  <w:style w:type="character" w:customStyle="1" w:styleId="158">
    <w:name w:val="正文首行缩进 Char"/>
    <w:basedOn w:val="57"/>
    <w:link w:val="36"/>
    <w:qFormat/>
    <w:uiPriority w:val="99"/>
    <w:rPr>
      <w:rFonts w:ascii="Calibri" w:hAnsi="Calibri" w:eastAsia="宋体" w:cs="宋体"/>
      <w:kern w:val="2"/>
      <w:sz w:val="21"/>
      <w:szCs w:val="22"/>
    </w:rPr>
  </w:style>
  <w:style w:type="character" w:customStyle="1" w:styleId="159">
    <w:name w:val="news_meta"/>
    <w:basedOn w:val="39"/>
    <w:qFormat/>
    <w:uiPriority w:val="0"/>
  </w:style>
  <w:style w:type="character" w:customStyle="1" w:styleId="160">
    <w:name w:val="news_title"/>
    <w:basedOn w:val="39"/>
    <w:qFormat/>
    <w:uiPriority w:val="0"/>
  </w:style>
  <w:style w:type="character" w:customStyle="1" w:styleId="161">
    <w:name w:val="pubdate-month"/>
    <w:basedOn w:val="39"/>
    <w:qFormat/>
    <w:uiPriority w:val="0"/>
    <w:rPr>
      <w:color w:val="FFFFFF"/>
      <w:sz w:val="24"/>
      <w:szCs w:val="24"/>
      <w:shd w:val="clear" w:color="auto" w:fill="CC0000"/>
    </w:rPr>
  </w:style>
  <w:style w:type="character" w:customStyle="1" w:styleId="162">
    <w:name w:val="pubdate-day"/>
    <w:basedOn w:val="39"/>
    <w:qFormat/>
    <w:uiPriority w:val="0"/>
    <w:rPr>
      <w:shd w:val="clear" w:color="auto" w:fill="F2F2F2"/>
    </w:rPr>
  </w:style>
  <w:style w:type="character" w:customStyle="1" w:styleId="163">
    <w:name w:val="item-name"/>
    <w:basedOn w:val="39"/>
    <w:qFormat/>
    <w:uiPriority w:val="0"/>
  </w:style>
  <w:style w:type="character" w:customStyle="1" w:styleId="164">
    <w:name w:val="item-name1"/>
    <w:basedOn w:val="39"/>
    <w:qFormat/>
    <w:uiPriority w:val="0"/>
  </w:style>
  <w:style w:type="character" w:customStyle="1" w:styleId="165">
    <w:name w:val="column-name24"/>
    <w:basedOn w:val="39"/>
    <w:qFormat/>
    <w:uiPriority w:val="0"/>
    <w:rPr>
      <w:color w:val="124D83"/>
    </w:rPr>
  </w:style>
  <w:style w:type="character" w:customStyle="1" w:styleId="166">
    <w:name w:val="column-name25"/>
    <w:basedOn w:val="39"/>
    <w:qFormat/>
    <w:uiPriority w:val="0"/>
    <w:rPr>
      <w:color w:val="124D83"/>
    </w:rPr>
  </w:style>
  <w:style w:type="character" w:customStyle="1" w:styleId="167">
    <w:name w:val="column-name26"/>
    <w:basedOn w:val="39"/>
    <w:qFormat/>
    <w:uiPriority w:val="0"/>
    <w:rPr>
      <w:color w:val="124D83"/>
    </w:rPr>
  </w:style>
  <w:style w:type="character" w:customStyle="1" w:styleId="168">
    <w:name w:val="column-name27"/>
    <w:basedOn w:val="39"/>
    <w:qFormat/>
    <w:uiPriority w:val="0"/>
    <w:rPr>
      <w:color w:val="124D83"/>
    </w:rPr>
  </w:style>
  <w:style w:type="character" w:customStyle="1" w:styleId="169">
    <w:name w:val="column-name28"/>
    <w:basedOn w:val="39"/>
    <w:qFormat/>
    <w:uiPriority w:val="0"/>
    <w:rPr>
      <w:color w:val="124D83"/>
    </w:rPr>
  </w:style>
  <w:style w:type="character" w:customStyle="1" w:styleId="170">
    <w:name w:val="column-name"/>
    <w:basedOn w:val="39"/>
    <w:qFormat/>
    <w:uiPriority w:val="0"/>
    <w:rPr>
      <w:color w:val="124D83"/>
    </w:rPr>
  </w:style>
  <w:style w:type="character" w:customStyle="1" w:styleId="171">
    <w:name w:val="column-name1"/>
    <w:basedOn w:val="39"/>
    <w:qFormat/>
    <w:uiPriority w:val="0"/>
    <w:rPr>
      <w:color w:val="124D83"/>
    </w:rPr>
  </w:style>
  <w:style w:type="character" w:customStyle="1" w:styleId="172">
    <w:name w:val="column-name2"/>
    <w:basedOn w:val="39"/>
    <w:qFormat/>
    <w:uiPriority w:val="0"/>
    <w:rPr>
      <w:color w:val="124D83"/>
    </w:rPr>
  </w:style>
  <w:style w:type="character" w:customStyle="1" w:styleId="173">
    <w:name w:val="column-name3"/>
    <w:basedOn w:val="39"/>
    <w:qFormat/>
    <w:uiPriority w:val="0"/>
    <w:rPr>
      <w:color w:val="124D83"/>
    </w:rPr>
  </w:style>
  <w:style w:type="character" w:customStyle="1" w:styleId="174">
    <w:name w:val="column-name4"/>
    <w:basedOn w:val="39"/>
    <w:qFormat/>
    <w:uiPriority w:val="0"/>
    <w:rPr>
      <w:color w:val="124D83"/>
    </w:rPr>
  </w:style>
  <w:style w:type="paragraph" w:customStyle="1" w:styleId="175">
    <w:name w:val="样式 宋体 四号 居中 行距: 1.5 倍行距"/>
    <w:basedOn w:val="1"/>
    <w:qFormat/>
    <w:uiPriority w:val="0"/>
    <w:pPr>
      <w:spacing w:line="360" w:lineRule="auto"/>
      <w:jc w:val="center"/>
    </w:pPr>
    <w:rPr>
      <w:rFonts w:hAnsi="Cambria"/>
      <w:szCs w:val="20"/>
    </w:rPr>
  </w:style>
  <w:style w:type="character" w:customStyle="1" w:styleId="176">
    <w:name w:val="font31"/>
    <w:basedOn w:val="39"/>
    <w:qFormat/>
    <w:uiPriority w:val="0"/>
    <w:rPr>
      <w:rFonts w:hint="eastAsia" w:ascii="微软雅黑" w:hAnsi="微软雅黑" w:eastAsia="微软雅黑" w:cs="微软雅黑"/>
      <w:color w:val="FF0000"/>
      <w:sz w:val="21"/>
      <w:szCs w:val="21"/>
      <w:u w:val="none"/>
    </w:rPr>
  </w:style>
  <w:style w:type="character" w:customStyle="1" w:styleId="177">
    <w:name w:val="font41"/>
    <w:basedOn w:val="39"/>
    <w:qFormat/>
    <w:uiPriority w:val="0"/>
    <w:rPr>
      <w:rFonts w:hint="eastAsia" w:ascii="微软雅黑" w:hAnsi="微软雅黑" w:eastAsia="微软雅黑" w:cs="微软雅黑"/>
      <w:color w:val="404040"/>
      <w:sz w:val="21"/>
      <w:szCs w:val="21"/>
      <w:u w:val="none"/>
    </w:rPr>
  </w:style>
  <w:style w:type="character" w:customStyle="1" w:styleId="178">
    <w:name w:val="楷体 (中文) 楷体"/>
    <w:qFormat/>
    <w:uiPriority w:val="0"/>
    <w:rPr>
      <w:rFonts w:ascii="楷体" w:hAnsi="楷体" w:eastAsia="楷体"/>
      <w:kern w:val="1"/>
      <w:sz w:val="28"/>
    </w:rPr>
  </w:style>
  <w:style w:type="paragraph" w:customStyle="1" w:styleId="179">
    <w:name w:val="Body Text First Indent1"/>
    <w:basedOn w:val="17"/>
    <w:next w:val="17"/>
    <w:qFormat/>
    <w:uiPriority w:val="0"/>
    <w:pPr>
      <w:tabs>
        <w:tab w:val="left" w:pos="219"/>
        <w:tab w:val="left" w:pos="420"/>
      </w:tabs>
      <w:ind w:firstLine="420" w:firstLineChars="100"/>
    </w:p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8" Type="http://schemas.openxmlformats.org/officeDocument/2006/relationships/fontTable" Target="fontTable.xml"/><Relationship Id="rId37" Type="http://schemas.openxmlformats.org/officeDocument/2006/relationships/customXml" Target="../customXml/item2.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jpe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er" Target="foot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jpe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jpeg"/><Relationship Id="rId12" Type="http://schemas.openxmlformats.org/officeDocument/2006/relationships/image" Target="media/image4.png"/><Relationship Id="rId11" Type="http://schemas.openxmlformats.org/officeDocument/2006/relationships/image" Target="media/image3.wmf"/><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1106C2A-DB23-4244-A43E-536199F8C9EF}">
  <ds:schemaRefs/>
</ds:datastoreItem>
</file>

<file path=docProps/app.xml><?xml version="1.0" encoding="utf-8"?>
<Properties xmlns="http://schemas.openxmlformats.org/officeDocument/2006/extended-properties" xmlns:vt="http://schemas.openxmlformats.org/officeDocument/2006/docPropsVTypes">
  <Template>Normal.dotm</Template>
  <Company>http://www.deepbbs.org</Company>
  <Pages>47</Pages>
  <Words>21073</Words>
  <Characters>22978</Characters>
  <Lines>202</Lines>
  <Paragraphs>56</Paragraphs>
  <TotalTime>0</TotalTime>
  <ScaleCrop>false</ScaleCrop>
  <LinksUpToDate>false</LinksUpToDate>
  <CharactersWithSpaces>24363</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2022-09-20T08:18:00Z</dcterms:created>
  <dc:creator>wulai</dc:creator>
  <cp:lastModifiedBy>WJ</cp:lastModifiedBy>
  <cp:lastPrinted>2022-07-03T23:40:00Z</cp:lastPrinted>
  <dcterms:modified xsi:type="dcterms:W3CDTF">2022-10-07T03:52:56Z</dcterms:modified>
  <dc:title>                              </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CE6FB038079E45AD85A1E54B724C2332</vt:lpwstr>
  </property>
</Properties>
</file>