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jc w:val="center"/>
        <w:rPr>
          <w:rFonts w:ascii="仿宋" w:hAnsi="仿宋" w:eastAsia="仿宋" w:cs="仿宋"/>
          <w:bCs/>
          <w:sz w:val="44"/>
          <w:szCs w:val="44"/>
        </w:rPr>
      </w:pPr>
    </w:p>
    <w:p>
      <w:pPr>
        <w:pStyle w:val="40"/>
        <w:spacing w:line="360" w:lineRule="auto"/>
        <w:jc w:val="center"/>
        <w:rPr>
          <w:rFonts w:hint="eastAsia" w:ascii="仿宋" w:hAnsi="仿宋" w:eastAsia="仿宋" w:cs="仿宋"/>
          <w:b/>
          <w:bCs/>
          <w:sz w:val="48"/>
          <w:szCs w:val="44"/>
          <w:lang w:eastAsia="zh-CN"/>
        </w:rPr>
      </w:pPr>
      <w:r>
        <w:rPr>
          <w:rFonts w:hint="eastAsia" w:ascii="仿宋" w:hAnsi="仿宋" w:eastAsia="仿宋" w:cs="仿宋"/>
          <w:b/>
          <w:bCs/>
          <w:sz w:val="48"/>
          <w:szCs w:val="44"/>
        </w:rPr>
        <w:t>山东科技大学</w:t>
      </w:r>
      <w:r>
        <w:rPr>
          <w:rFonts w:hint="eastAsia" w:ascii="仿宋" w:hAnsi="仿宋" w:eastAsia="仿宋" w:cs="仿宋"/>
          <w:b/>
          <w:bCs/>
          <w:sz w:val="48"/>
          <w:szCs w:val="44"/>
          <w:lang w:eastAsia="zh-CN"/>
        </w:rPr>
        <w:t>孵化环境改造升级工程</w:t>
      </w:r>
    </w:p>
    <w:p>
      <w:pPr>
        <w:pStyle w:val="40"/>
        <w:spacing w:line="360" w:lineRule="auto"/>
        <w:jc w:val="center"/>
        <w:rPr>
          <w:rFonts w:ascii="仿宋" w:hAnsi="仿宋" w:eastAsia="仿宋" w:cs="仿宋"/>
          <w:b/>
          <w:bCs/>
          <w:sz w:val="48"/>
          <w:szCs w:val="44"/>
        </w:rPr>
      </w:pPr>
      <w:r>
        <w:rPr>
          <w:rFonts w:hint="eastAsia" w:ascii="仿宋" w:hAnsi="仿宋" w:eastAsia="仿宋" w:cs="仿宋"/>
          <w:b/>
          <w:bCs/>
          <w:sz w:val="48"/>
          <w:szCs w:val="44"/>
        </w:rPr>
        <w:t>竞争性磋商</w:t>
      </w:r>
    </w:p>
    <w:p>
      <w:pPr>
        <w:pStyle w:val="40"/>
        <w:spacing w:line="360" w:lineRule="auto"/>
        <w:jc w:val="center"/>
        <w:rPr>
          <w:rFonts w:ascii="仿宋" w:hAnsi="仿宋" w:eastAsia="仿宋" w:cs="仿宋"/>
          <w:bCs/>
          <w:sz w:val="44"/>
          <w:szCs w:val="44"/>
        </w:rPr>
      </w:pPr>
    </w:p>
    <w:p>
      <w:pPr>
        <w:overflowPunct w:val="0"/>
        <w:autoSpaceDE w:val="0"/>
        <w:spacing w:line="360" w:lineRule="auto"/>
        <w:ind w:right="-794" w:firstLine="1405" w:firstLineChars="350"/>
        <w:rPr>
          <w:rFonts w:hint="eastAsia" w:ascii="仿宋" w:hAnsi="仿宋" w:eastAsia="仿宋" w:cs="仿宋"/>
          <w:b/>
          <w:bCs/>
          <w:sz w:val="40"/>
          <w:szCs w:val="44"/>
          <w:u w:val="single"/>
          <w:lang w:eastAsia="zh-CN"/>
        </w:rPr>
      </w:pPr>
      <w:r>
        <w:rPr>
          <w:rFonts w:hint="eastAsia" w:ascii="仿宋" w:hAnsi="仿宋" w:eastAsia="仿宋" w:cs="仿宋"/>
          <w:b/>
          <w:bCs/>
          <w:sz w:val="40"/>
          <w:szCs w:val="44"/>
        </w:rPr>
        <w:t>项目编号：</w:t>
      </w:r>
      <w:r>
        <w:rPr>
          <w:rFonts w:hint="eastAsia" w:ascii="仿宋" w:hAnsi="仿宋" w:eastAsia="仿宋" w:cs="仿宋"/>
          <w:b/>
          <w:bCs/>
          <w:sz w:val="40"/>
          <w:szCs w:val="44"/>
          <w:highlight w:val="none"/>
          <w:lang w:eastAsia="zh-CN"/>
        </w:rPr>
        <w:t>SDSHZB2020-141</w:t>
      </w:r>
    </w:p>
    <w:p>
      <w:pPr>
        <w:snapToGrid w:val="0"/>
        <w:spacing w:line="360" w:lineRule="auto"/>
        <w:rPr>
          <w:rFonts w:ascii="仿宋" w:hAnsi="仿宋" w:eastAsia="仿宋" w:cs="仿宋"/>
          <w:bCs/>
          <w:sz w:val="24"/>
          <w:szCs w:val="24"/>
          <w:u w:val="single"/>
        </w:rPr>
      </w:pPr>
    </w:p>
    <w:p>
      <w:pPr>
        <w:snapToGrid w:val="0"/>
        <w:spacing w:line="360" w:lineRule="auto"/>
        <w:jc w:val="center"/>
        <w:rPr>
          <w:rFonts w:ascii="仿宋" w:hAnsi="仿宋" w:eastAsia="仿宋" w:cs="仿宋"/>
          <w:sz w:val="24"/>
          <w:szCs w:val="24"/>
        </w:rPr>
      </w:pPr>
      <w:r>
        <w:rPr>
          <w:rFonts w:hint="eastAsia" w:ascii="仿宋" w:hAnsi="仿宋" w:eastAsia="仿宋" w:cs="仿宋"/>
        </w:rPr>
        <w:drawing>
          <wp:anchor distT="0" distB="0" distL="0" distR="0" simplePos="0" relativeHeight="251659264"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0115" cy="2190115"/>
                    </a:xfrm>
                    <a:prstGeom prst="rect">
                      <a:avLst/>
                    </a:prstGeom>
                    <a:solidFill>
                      <a:srgbClr val="FFFFFF"/>
                    </a:solidFill>
                  </pic:spPr>
                </pic:pic>
              </a:graphicData>
            </a:graphic>
          </wp:anchor>
        </w:drawing>
      </w: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采购单位： 山东科技大学</w:t>
      </w: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采购代理：山东盛和招标代理有限公司</w:t>
      </w:r>
    </w:p>
    <w:p>
      <w:pPr>
        <w:snapToGrid w:val="0"/>
        <w:spacing w:line="360" w:lineRule="auto"/>
        <w:ind w:firstLine="964"/>
        <w:jc w:val="center"/>
        <w:rPr>
          <w:rFonts w:ascii="仿宋" w:hAnsi="仿宋" w:eastAsia="仿宋" w:cs="仿宋"/>
          <w:b/>
          <w:bCs/>
          <w:sz w:val="24"/>
          <w:szCs w:val="24"/>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 xml:space="preserve">     二零二零年</w:t>
      </w:r>
      <w:r>
        <w:rPr>
          <w:rFonts w:hint="eastAsia" w:ascii="仿宋" w:hAnsi="仿宋" w:eastAsia="仿宋" w:cs="仿宋"/>
          <w:b/>
          <w:bCs/>
          <w:sz w:val="30"/>
          <w:szCs w:val="30"/>
          <w:lang w:eastAsia="zh-CN"/>
        </w:rPr>
        <w:t>四</w:t>
      </w:r>
      <w:r>
        <w:rPr>
          <w:rFonts w:hint="eastAsia" w:ascii="仿宋" w:hAnsi="仿宋" w:eastAsia="仿宋" w:cs="仿宋"/>
          <w:b/>
          <w:bCs/>
          <w:sz w:val="30"/>
          <w:szCs w:val="30"/>
        </w:rPr>
        <w:t>月</w:t>
      </w:r>
    </w:p>
    <w:p>
      <w:pPr>
        <w:pageBreakBefore/>
        <w:snapToGrid w:val="0"/>
        <w:spacing w:line="360" w:lineRule="auto"/>
        <w:rPr>
          <w:rFonts w:ascii="仿宋" w:hAnsi="仿宋" w:eastAsia="仿宋" w:cs="仿宋"/>
          <w:bCs/>
          <w:sz w:val="24"/>
          <w:szCs w:val="24"/>
        </w:rPr>
      </w:pPr>
    </w:p>
    <w:p>
      <w:pPr>
        <w:overflowPunct w:val="0"/>
        <w:autoSpaceDE w:val="0"/>
        <w:spacing w:line="360" w:lineRule="auto"/>
        <w:ind w:right="-794"/>
        <w:jc w:val="center"/>
        <w:rPr>
          <w:rFonts w:ascii="仿宋" w:hAnsi="仿宋" w:eastAsia="仿宋" w:cs="仿宋"/>
          <w:sz w:val="36"/>
          <w:szCs w:val="36"/>
        </w:rPr>
      </w:pPr>
      <w:r>
        <w:rPr>
          <w:rFonts w:hint="eastAsia" w:ascii="仿宋" w:hAnsi="仿宋" w:eastAsia="仿宋" w:cs="仿宋"/>
          <w:sz w:val="36"/>
          <w:szCs w:val="36"/>
        </w:rPr>
        <w:t>目 录</w:t>
      </w:r>
    </w:p>
    <w:p>
      <w:pPr>
        <w:pStyle w:val="2"/>
        <w:tabs>
          <w:tab w:val="right" w:leader="dot" w:pos="8867"/>
          <w:tab w:val="clear" w:pos="8948"/>
        </w:tabs>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"_Toc13144" </w:instrText>
      </w:r>
      <w:r>
        <w:fldChar w:fldCharType="separate"/>
      </w:r>
      <w:r>
        <w:rPr>
          <w:rFonts w:hint="eastAsia" w:ascii="仿宋" w:hAnsi="仿宋" w:eastAsia="仿宋" w:cs="仿宋"/>
          <w:sz w:val="24"/>
          <w:szCs w:val="24"/>
        </w:rPr>
        <w:t>第一章 响应须知及前附表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_Toc13144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ind w:left="0" w:firstLine="560" w:firstLineChars="200"/>
        <w:rPr>
          <w:rFonts w:ascii="仿宋" w:hAnsi="仿宋" w:eastAsia="仿宋" w:cs="仿宋"/>
          <w:sz w:val="24"/>
        </w:rPr>
      </w:pPr>
      <w:r>
        <w:fldChar w:fldCharType="begin"/>
      </w:r>
      <w:r>
        <w:instrText xml:space="preserve"> HYPERLINK \l "_Toc20427" </w:instrText>
      </w:r>
      <w:r>
        <w:fldChar w:fldCharType="separate"/>
      </w:r>
      <w:r>
        <w:rPr>
          <w:rFonts w:hint="eastAsia" w:ascii="仿宋" w:hAnsi="仿宋" w:eastAsia="仿宋" w:cs="仿宋"/>
          <w:sz w:val="24"/>
        </w:rPr>
        <w:t>一、响应须知前附表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_Toc20427 </w:instrText>
      </w:r>
      <w:r>
        <w:rPr>
          <w:rFonts w:hint="eastAsia" w:ascii="仿宋" w:hAnsi="仿宋" w:eastAsia="仿宋" w:cs="仿宋"/>
          <w:sz w:val="24"/>
        </w:rPr>
        <w:fldChar w:fldCharType="separate"/>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ind w:firstLine="420" w:firstLineChars="200"/>
        <w:rPr>
          <w:rFonts w:ascii="仿宋" w:hAnsi="仿宋" w:eastAsia="仿宋" w:cs="仿宋"/>
          <w:sz w:val="24"/>
          <w:szCs w:val="24"/>
        </w:rPr>
      </w:pPr>
      <w:r>
        <w:fldChar w:fldCharType="begin"/>
      </w:r>
      <w:r>
        <w:instrText xml:space="preserve"> HYPERLINK \l "_Toc28203" </w:instrText>
      </w:r>
      <w:r>
        <w:fldChar w:fldCharType="separate"/>
      </w:r>
      <w:r>
        <w:rPr>
          <w:rFonts w:hint="eastAsia" w:ascii="仿宋" w:hAnsi="仿宋" w:eastAsia="仿宋" w:cs="仿宋"/>
          <w:sz w:val="24"/>
          <w:szCs w:val="24"/>
        </w:rPr>
        <w:t>二、响应须知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_Toc28203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"_Toc12818" </w:instrText>
      </w:r>
      <w:r>
        <w:fldChar w:fldCharType="separate"/>
      </w:r>
      <w:r>
        <w:rPr>
          <w:rFonts w:hint="eastAsia" w:ascii="仿宋" w:hAnsi="仿宋" w:eastAsia="仿宋" w:cs="仿宋"/>
          <w:sz w:val="24"/>
        </w:rPr>
        <w:t>（一）总  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_Toc12818 </w:instrText>
      </w:r>
      <w:r>
        <w:rPr>
          <w:rFonts w:hint="eastAsia" w:ascii="仿宋" w:hAnsi="仿宋" w:eastAsia="仿宋" w:cs="仿宋"/>
          <w:sz w:val="24"/>
        </w:rPr>
        <w:fldChar w:fldCharType="separate"/>
      </w:r>
      <w:r>
        <w:rPr>
          <w:rFonts w:hint="eastAsia"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"_Toc23227" </w:instrText>
      </w:r>
      <w:r>
        <w:fldChar w:fldCharType="separate"/>
      </w:r>
      <w:r>
        <w:rPr>
          <w:rFonts w:hint="eastAsia" w:ascii="仿宋" w:hAnsi="仿宋" w:eastAsia="仿宋" w:cs="仿宋"/>
          <w:sz w:val="24"/>
        </w:rPr>
        <w:t>（二）磋商文件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_Toc23227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"_Toc20306" </w:instrText>
      </w:r>
      <w:r>
        <w:fldChar w:fldCharType="separate"/>
      </w:r>
      <w:r>
        <w:rPr>
          <w:rFonts w:hint="eastAsia" w:ascii="仿宋" w:hAnsi="仿宋" w:eastAsia="仿宋" w:cs="仿宋"/>
          <w:sz w:val="24"/>
        </w:rPr>
        <w:t>（三） 响应文件的编制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_Toc20306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"_Toc710" </w:instrText>
      </w:r>
      <w:r>
        <w:fldChar w:fldCharType="separate"/>
      </w:r>
      <w:r>
        <w:rPr>
          <w:rFonts w:hint="eastAsia" w:ascii="仿宋" w:hAnsi="仿宋" w:eastAsia="仿宋" w:cs="仿宋"/>
          <w:sz w:val="24"/>
        </w:rPr>
        <w:t>（四）响应文件的提交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_Toc710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"_Toc24049" </w:instrText>
      </w:r>
      <w:r>
        <w:fldChar w:fldCharType="separate"/>
      </w:r>
      <w:r>
        <w:rPr>
          <w:rFonts w:hint="eastAsia" w:ascii="仿宋" w:hAnsi="仿宋" w:eastAsia="仿宋" w:cs="仿宋"/>
          <w:sz w:val="24"/>
        </w:rPr>
        <w:t>（五）开标会</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_Toc24049 </w:instrText>
      </w:r>
      <w:r>
        <w:rPr>
          <w:rFonts w:hint="eastAsia" w:ascii="仿宋" w:hAnsi="仿宋" w:eastAsia="仿宋" w:cs="仿宋"/>
          <w:sz w:val="24"/>
        </w:rPr>
        <w:fldChar w:fldCharType="separate"/>
      </w:r>
      <w:r>
        <w:rPr>
          <w:rFonts w:hint="eastAsia" w:ascii="仿宋" w:hAnsi="仿宋" w:eastAsia="仿宋" w:cs="仿宋"/>
          <w:sz w:val="24"/>
        </w:rPr>
        <w:t>16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"_Toc12363" </w:instrText>
      </w:r>
      <w:r>
        <w:fldChar w:fldCharType="separate"/>
      </w:r>
      <w:r>
        <w:rPr>
          <w:rFonts w:hint="eastAsia" w:ascii="仿宋" w:hAnsi="仿宋" w:eastAsia="仿宋" w:cs="仿宋"/>
          <w:sz w:val="24"/>
        </w:rPr>
        <w:t>（六）评审</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_Toc12363 </w:instrText>
      </w:r>
      <w:r>
        <w:rPr>
          <w:rFonts w:hint="eastAsia" w:ascii="仿宋" w:hAnsi="仿宋" w:eastAsia="仿宋" w:cs="仿宋"/>
          <w:sz w:val="24"/>
        </w:rPr>
        <w:fldChar w:fldCharType="separate"/>
      </w:r>
      <w:r>
        <w:rPr>
          <w:rFonts w:hint="eastAsia" w:ascii="仿宋" w:hAnsi="仿宋" w:eastAsia="仿宋" w:cs="仿宋"/>
          <w:sz w:val="24"/>
        </w:rPr>
        <w:t>16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"_Toc86" </w:instrText>
      </w:r>
      <w:r>
        <w:fldChar w:fldCharType="separate"/>
      </w:r>
      <w:r>
        <w:rPr>
          <w:rFonts w:hint="eastAsia" w:ascii="仿宋" w:hAnsi="仿宋" w:eastAsia="仿宋" w:cs="仿宋"/>
          <w:sz w:val="24"/>
        </w:rPr>
        <w:t>（七）定标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_Toc86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"_Toc8922" </w:instrText>
      </w:r>
      <w:r>
        <w:fldChar w:fldCharType="separate"/>
      </w:r>
      <w:r>
        <w:rPr>
          <w:rFonts w:hint="eastAsia" w:ascii="仿宋" w:hAnsi="仿宋" w:eastAsia="仿宋" w:cs="仿宋"/>
          <w:sz w:val="24"/>
        </w:rPr>
        <w:t>（八）合同的授予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_Toc8922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"_Toc2962" </w:instrText>
      </w:r>
      <w:r>
        <w:fldChar w:fldCharType="separate"/>
      </w:r>
      <w:r>
        <w:rPr>
          <w:rFonts w:hint="eastAsia" w:ascii="仿宋" w:hAnsi="仿宋" w:eastAsia="仿宋" w:cs="仿宋"/>
          <w:sz w:val="24"/>
          <w:szCs w:val="24"/>
        </w:rPr>
        <w:t>第二章 供应商应当提交的资格、资信等证明文件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_Toc2962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"_Toc2064" </w:instrText>
      </w:r>
      <w:r>
        <w:fldChar w:fldCharType="separate"/>
      </w:r>
      <w:r>
        <w:rPr>
          <w:rFonts w:hint="eastAsia" w:ascii="仿宋" w:hAnsi="仿宋" w:eastAsia="仿宋" w:cs="仿宋"/>
          <w:sz w:val="24"/>
          <w:szCs w:val="24"/>
        </w:rPr>
        <w:t>第三章   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_Toc2064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"_Toc14418" </w:instrText>
      </w:r>
      <w:r>
        <w:fldChar w:fldCharType="separate"/>
      </w:r>
      <w:r>
        <w:rPr>
          <w:rFonts w:hint="eastAsia" w:ascii="仿宋" w:hAnsi="仿宋" w:eastAsia="仿宋" w:cs="仿宋"/>
          <w:sz w:val="24"/>
          <w:szCs w:val="24"/>
        </w:rPr>
        <w:t>第四章   项目说明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_Toc14418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"_Toc6472" </w:instrText>
      </w:r>
      <w:r>
        <w:fldChar w:fldCharType="separate"/>
      </w:r>
      <w:r>
        <w:rPr>
          <w:rFonts w:hint="eastAsia" w:ascii="仿宋" w:hAnsi="仿宋" w:eastAsia="仿宋" w:cs="仿宋"/>
          <w:sz w:val="24"/>
          <w:szCs w:val="24"/>
        </w:rPr>
        <w:t>第五章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_Toc6472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"_Toc14436" </w:instrText>
      </w:r>
      <w:r>
        <w:fldChar w:fldCharType="separate"/>
      </w:r>
      <w:r>
        <w:rPr>
          <w:rFonts w:hint="eastAsia" w:ascii="仿宋" w:hAnsi="仿宋" w:eastAsia="仿宋" w:cs="仿宋"/>
          <w:sz w:val="24"/>
        </w:rPr>
        <w:t>第一部分 响应函部分格式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_Toc14436 </w:instrText>
      </w:r>
      <w:r>
        <w:rPr>
          <w:rFonts w:hint="eastAsia" w:ascii="仿宋" w:hAnsi="仿宋" w:eastAsia="仿宋" w:cs="仿宋"/>
          <w:sz w:val="24"/>
        </w:rPr>
        <w:fldChar w:fldCharType="separate"/>
      </w:r>
      <w:r>
        <w:rPr>
          <w:rFonts w:hint="eastAsia" w:ascii="仿宋" w:hAnsi="仿宋" w:eastAsia="仿宋" w:cs="仿宋"/>
          <w:sz w:val="24"/>
        </w:rPr>
        <w:t>30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"_Toc3980" </w:instrText>
      </w:r>
      <w:r>
        <w:fldChar w:fldCharType="separate"/>
      </w:r>
      <w:r>
        <w:rPr>
          <w:rFonts w:hint="eastAsia" w:ascii="仿宋" w:hAnsi="仿宋" w:eastAsia="仿宋" w:cs="仿宋"/>
          <w:sz w:val="24"/>
        </w:rPr>
        <w:t>第二部分 技术部分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_Toc3980 </w:instrText>
      </w:r>
      <w:r>
        <w:rPr>
          <w:rFonts w:hint="eastAsia" w:ascii="仿宋" w:hAnsi="仿宋" w:eastAsia="仿宋" w:cs="仿宋"/>
          <w:sz w:val="24"/>
        </w:rPr>
        <w:fldChar w:fldCharType="separate"/>
      </w:r>
      <w:r>
        <w:rPr>
          <w:rFonts w:hint="eastAsia" w:ascii="仿宋" w:hAnsi="仿宋" w:eastAsia="仿宋" w:cs="仿宋"/>
          <w:sz w:val="24"/>
        </w:rPr>
        <w:t>33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"_Toc15695" </w:instrText>
      </w:r>
      <w:r>
        <w:fldChar w:fldCharType="separate"/>
      </w:r>
      <w:r>
        <w:rPr>
          <w:rFonts w:hint="eastAsia" w:ascii="仿宋" w:hAnsi="仿宋" w:eastAsia="仿宋" w:cs="仿宋"/>
          <w:sz w:val="24"/>
          <w:szCs w:val="24"/>
        </w:rPr>
        <w:t>第六章 具体评审办法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_Toc15695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"_Toc26692" </w:instrText>
      </w:r>
      <w:r>
        <w:fldChar w:fldCharType="separate"/>
      </w:r>
      <w:r>
        <w:rPr>
          <w:rFonts w:hint="eastAsia" w:ascii="仿宋" w:hAnsi="仿宋" w:eastAsia="仿宋" w:cs="仿宋"/>
          <w:sz w:val="24"/>
          <w:szCs w:val="24"/>
        </w:rPr>
        <w:t>第七章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_Toc26692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ascii="仿宋" w:hAnsi="仿宋" w:eastAsia="仿宋" w:cs="仿宋"/>
          <w:sz w:val="24"/>
        </w:rPr>
      </w:pPr>
      <w:r>
        <w:fldChar w:fldCharType="begin"/>
      </w:r>
      <w:r>
        <w:instrText xml:space="preserve"> HYPERLINK \l "_Toc8406" </w:instrText>
      </w:r>
      <w:r>
        <w:fldChar w:fldCharType="separate"/>
      </w:r>
      <w:r>
        <w:rPr>
          <w:rFonts w:hint="eastAsia" w:ascii="仿宋" w:hAnsi="仿宋" w:eastAsia="仿宋" w:cs="仿宋"/>
          <w:sz w:val="24"/>
        </w:rPr>
        <w:t>密封件封面格式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_Toc8406 </w:instrText>
      </w:r>
      <w:r>
        <w:rPr>
          <w:rFonts w:hint="eastAsia" w:ascii="仿宋" w:hAnsi="仿宋" w:eastAsia="仿宋" w:cs="仿宋"/>
          <w:sz w:val="24"/>
        </w:rPr>
        <w:fldChar w:fldCharType="separate"/>
      </w:r>
      <w:r>
        <w:rPr>
          <w:rFonts w:hint="eastAsia" w:ascii="仿宋" w:hAnsi="仿宋" w:eastAsia="仿宋" w:cs="仿宋"/>
          <w:sz w:val="24"/>
        </w:rPr>
        <w:t>41</w:t>
      </w:r>
      <w:r>
        <w:rPr>
          <w:rFonts w:hint="eastAsia" w:ascii="仿宋" w:hAnsi="仿宋" w:eastAsia="仿宋" w:cs="仿宋"/>
          <w:sz w:val="24"/>
        </w:rPr>
        <w:fldChar w:fldCharType="end"/>
      </w:r>
      <w:r>
        <w:rPr>
          <w:rFonts w:hint="eastAsia" w:ascii="仿宋" w:hAnsi="仿宋" w:eastAsia="仿宋" w:cs="仿宋"/>
          <w:sz w:val="24"/>
        </w:rPr>
        <w:fldChar w:fldCharType="end"/>
      </w:r>
    </w:p>
    <w:p>
      <w:pPr>
        <w:spacing w:line="360" w:lineRule="auto"/>
        <w:jc w:val="center"/>
        <w:rPr>
          <w:rFonts w:ascii="仿宋" w:hAnsi="仿宋" w:eastAsia="仿宋" w:cs="仿宋"/>
          <w:sz w:val="24"/>
          <w:szCs w:val="24"/>
        </w:rPr>
      </w:pPr>
      <w:r>
        <w:rPr>
          <w:rFonts w:hint="eastAsia" w:ascii="仿宋" w:hAnsi="仿宋" w:eastAsia="仿宋" w:cs="仿宋"/>
          <w:sz w:val="24"/>
          <w:szCs w:val="24"/>
        </w:rPr>
        <w:fldChar w:fldCharType="end"/>
      </w:r>
      <w:bookmarkStart w:id="0" w:name="_Toc535048496"/>
    </w:p>
    <w:p>
      <w:pPr>
        <w:pStyle w:val="3"/>
        <w:spacing w:before="0" w:after="0"/>
        <w:jc w:val="center"/>
        <w:rPr>
          <w:rFonts w:ascii="仿宋" w:hAnsi="仿宋" w:eastAsia="仿宋" w:cs="仿宋"/>
          <w:bCs/>
          <w:sz w:val="40"/>
          <w:szCs w:val="24"/>
        </w:rPr>
      </w:pPr>
      <w:r>
        <w:rPr>
          <w:rFonts w:hint="eastAsia" w:ascii="仿宋" w:hAnsi="仿宋" w:eastAsia="仿宋" w:cs="仿宋"/>
          <w:sz w:val="30"/>
          <w:szCs w:val="30"/>
        </w:rPr>
        <w:br w:type="page"/>
      </w:r>
      <w:bookmarkStart w:id="1" w:name="_Toc13144"/>
      <w:r>
        <w:rPr>
          <w:rFonts w:hint="eastAsia" w:ascii="仿宋" w:hAnsi="仿宋" w:eastAsia="仿宋" w:cs="仿宋"/>
          <w:sz w:val="40"/>
          <w:szCs w:val="24"/>
        </w:rPr>
        <w:t>第一章 响应须知及前附表</w:t>
      </w:r>
      <w:bookmarkEnd w:id="0"/>
      <w:bookmarkEnd w:id="1"/>
    </w:p>
    <w:p>
      <w:pPr>
        <w:pStyle w:val="4"/>
        <w:spacing w:before="0" w:after="0" w:line="360" w:lineRule="auto"/>
        <w:jc w:val="center"/>
        <w:rPr>
          <w:rFonts w:ascii="仿宋" w:hAnsi="仿宋" w:eastAsia="仿宋" w:cs="仿宋"/>
          <w:b w:val="0"/>
        </w:rPr>
      </w:pPr>
      <w:bookmarkStart w:id="2" w:name="_Toc535048497"/>
      <w:bookmarkStart w:id="3" w:name="_Toc20427"/>
      <w:r>
        <w:rPr>
          <w:rFonts w:hint="eastAsia" w:ascii="仿宋" w:hAnsi="仿宋" w:eastAsia="仿宋" w:cs="仿宋"/>
          <w:b w:val="0"/>
        </w:rPr>
        <w:t>一、响应须知前附表</w:t>
      </w:r>
      <w:bookmarkEnd w:id="2"/>
      <w:bookmarkEnd w:id="3"/>
    </w:p>
    <w:tbl>
      <w:tblPr>
        <w:tblStyle w:val="20"/>
        <w:tblW w:w="9242" w:type="dxa"/>
        <w:tblInd w:w="0" w:type="dxa"/>
        <w:tblLayout w:type="fixed"/>
        <w:tblCellMar>
          <w:top w:w="0" w:type="dxa"/>
          <w:left w:w="28" w:type="dxa"/>
          <w:bottom w:w="0" w:type="dxa"/>
          <w:right w:w="28" w:type="dxa"/>
        </w:tblCellMar>
      </w:tblPr>
      <w:tblGrid>
        <w:gridCol w:w="591"/>
        <w:gridCol w:w="8651"/>
      </w:tblGrid>
      <w:tr>
        <w:tblPrEx>
          <w:tblCellMar>
            <w:top w:w="0" w:type="dxa"/>
            <w:left w:w="28" w:type="dxa"/>
            <w:bottom w:w="0" w:type="dxa"/>
            <w:right w:w="28" w:type="dxa"/>
          </w:tblCellMar>
        </w:tblPrEx>
        <w:trPr>
          <w:trHeight w:val="584"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序号</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内   容  规   定</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工程名称：山东科技大学</w:t>
            </w:r>
            <w:r>
              <w:rPr>
                <w:rFonts w:hint="eastAsia" w:ascii="仿宋" w:hAnsi="仿宋" w:eastAsia="仿宋" w:cs="仿宋"/>
                <w:sz w:val="24"/>
                <w:szCs w:val="24"/>
                <w:lang w:eastAsia="zh-CN"/>
              </w:rPr>
              <w:t>孵化环境改造升级工程</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仿宋"/>
                <w:lang w:eastAsia="zh-CN"/>
              </w:rPr>
            </w:pPr>
            <w:r>
              <w:rPr>
                <w:rFonts w:hint="eastAsia" w:ascii="仿宋" w:hAnsi="仿宋" w:eastAsia="仿宋" w:cs="仿宋"/>
                <w:sz w:val="24"/>
                <w:szCs w:val="24"/>
              </w:rPr>
              <w:t>施工项目：</w:t>
            </w:r>
            <w:r>
              <w:rPr>
                <w:rFonts w:hint="eastAsia" w:ascii="仿宋" w:hAnsi="仿宋" w:eastAsia="仿宋" w:cs="仿宋"/>
                <w:sz w:val="24"/>
                <w:szCs w:val="24"/>
                <w:lang w:eastAsia="zh-CN"/>
              </w:rPr>
              <w:t>孵化环境改造升级工程</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3</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rPr>
            </w:pPr>
            <w:r>
              <w:rPr>
                <w:rFonts w:hint="eastAsia" w:ascii="仿宋" w:hAnsi="仿宋" w:eastAsia="仿宋" w:cs="仿宋"/>
                <w:sz w:val="24"/>
                <w:szCs w:val="24"/>
              </w:rPr>
              <w:t>承包方式：包工包料、包质量、包工期、包安全</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4</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rPr>
            </w:pPr>
            <w:r>
              <w:rPr>
                <w:rFonts w:hint="eastAsia" w:ascii="仿宋" w:hAnsi="仿宋" w:eastAsia="仿宋" w:cs="仿宋"/>
                <w:sz w:val="24"/>
                <w:szCs w:val="24"/>
              </w:rPr>
              <w:t>质量标准：合格</w:t>
            </w:r>
            <w:r>
              <w:rPr>
                <w:rFonts w:ascii="仿宋" w:hAnsi="仿宋" w:eastAsia="仿宋" w:cs="仿宋"/>
                <w:sz w:val="24"/>
                <w:szCs w:val="24"/>
              </w:rPr>
              <w:t xml:space="preserve"> </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5</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pPr>
            <w:r>
              <w:rPr>
                <w:rFonts w:hint="eastAsia" w:ascii="仿宋" w:hAnsi="仿宋" w:eastAsia="仿宋" w:cs="仿宋"/>
                <w:sz w:val="24"/>
                <w:szCs w:val="24"/>
              </w:rPr>
              <w:t>施工范围：详见项目说明及工程量清单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6</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工程规模：详见项目说明及工程量清单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7</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lang w:val="en-US" w:eastAsia="zh-CN"/>
              </w:rPr>
              <w:t>30</w:t>
            </w:r>
            <w:r>
              <w:rPr>
                <w:rFonts w:hint="eastAsia" w:ascii="仿宋" w:hAnsi="仿宋" w:eastAsia="仿宋" w:cs="仿宋"/>
                <w:sz w:val="24"/>
                <w:szCs w:val="24"/>
              </w:rPr>
              <w:t>万元。</w:t>
            </w:r>
          </w:p>
        </w:tc>
      </w:tr>
      <w:tr>
        <w:tblPrEx>
          <w:tblCellMar>
            <w:top w:w="0" w:type="dxa"/>
            <w:left w:w="28" w:type="dxa"/>
            <w:bottom w:w="0" w:type="dxa"/>
            <w:right w:w="28" w:type="dxa"/>
          </w:tblCellMar>
        </w:tblPrEx>
        <w:trPr>
          <w:trHeight w:val="90"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8</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sz w:val="24"/>
                <w:szCs w:val="24"/>
              </w:rPr>
            </w:pPr>
            <w:r>
              <w:rPr>
                <w:rFonts w:hint="eastAsia" w:ascii="仿宋" w:hAnsi="仿宋" w:eastAsia="仿宋" w:cs="仿宋"/>
                <w:sz w:val="24"/>
                <w:szCs w:val="24"/>
              </w:rPr>
              <w:t>总工期：合同签订之日起</w:t>
            </w:r>
            <w:r>
              <w:rPr>
                <w:rFonts w:hint="eastAsia" w:ascii="仿宋" w:hAnsi="仿宋" w:eastAsia="仿宋" w:cs="仿宋"/>
                <w:sz w:val="24"/>
                <w:szCs w:val="24"/>
                <w:lang w:val="en-US" w:eastAsia="zh-CN"/>
              </w:rPr>
              <w:t>25</w:t>
            </w:r>
            <w:r>
              <w:rPr>
                <w:rFonts w:hint="eastAsia" w:ascii="仿宋" w:hAnsi="仿宋" w:eastAsia="仿宋" w:cs="仿宋"/>
                <w:sz w:val="24"/>
                <w:szCs w:val="24"/>
              </w:rPr>
              <w:t>日历日；</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sz w:val="24"/>
                <w:szCs w:val="24"/>
              </w:rPr>
            </w:pPr>
            <w:r>
              <w:rPr>
                <w:rFonts w:hint="eastAsia" w:ascii="仿宋" w:hAnsi="仿宋" w:eastAsia="仿宋" w:cs="仿宋"/>
                <w:sz w:val="24"/>
                <w:szCs w:val="24"/>
              </w:rPr>
              <w:t>具体施工时间以发包人通知为准。发包人有权对开工、竣工时间做出适当调整，并适时通知成交人。</w:t>
            </w:r>
          </w:p>
        </w:tc>
      </w:tr>
      <w:tr>
        <w:tblPrEx>
          <w:tblCellMar>
            <w:top w:w="0" w:type="dxa"/>
            <w:left w:w="28" w:type="dxa"/>
            <w:bottom w:w="0" w:type="dxa"/>
            <w:right w:w="28" w:type="dxa"/>
          </w:tblCellMar>
        </w:tblPrEx>
        <w:trPr>
          <w:trHeight w:val="262"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9</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sz w:val="24"/>
                <w:szCs w:val="24"/>
              </w:rPr>
            </w:pPr>
            <w:r>
              <w:rPr>
                <w:rFonts w:hint="eastAsia" w:ascii="仿宋" w:hAnsi="仿宋" w:eastAsia="仿宋" w:cs="仿宋"/>
                <w:sz w:val="24"/>
                <w:szCs w:val="24"/>
              </w:rPr>
              <w:t>工程保修期：2年。</w:t>
            </w:r>
          </w:p>
        </w:tc>
      </w:tr>
      <w:tr>
        <w:tblPrEx>
          <w:tblCellMar>
            <w:top w:w="0" w:type="dxa"/>
            <w:left w:w="28" w:type="dxa"/>
            <w:bottom w:w="0" w:type="dxa"/>
            <w:right w:w="28" w:type="dxa"/>
          </w:tblCellMar>
        </w:tblPrEx>
        <w:trPr>
          <w:trHeight w:val="4424"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10</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b/>
                <w:sz w:val="24"/>
                <w:szCs w:val="22"/>
              </w:rPr>
            </w:pPr>
            <w:r>
              <w:rPr>
                <w:rFonts w:hint="eastAsia" w:ascii="仿宋" w:hAnsi="仿宋" w:eastAsia="仿宋" w:cs="仿宋"/>
                <w:b/>
                <w:sz w:val="24"/>
                <w:szCs w:val="22"/>
              </w:rPr>
              <w:t>供应商资格要求</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1、具有独立承担民事责任的能力；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2、具有良好的商业信誉和健全的财务会计制度；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3、具有履行合同所必需的设备和专业技术能力；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4、有依法缴纳税收和社会保障资金的良好记录；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5、参加采购活动前三年内，在经营活动中没有重大违法记录；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6、通过“信用中国”网站（www.creditchina.gov.cn）查询，未被列入失信惩戒、重大税收违法案件当事人、采购严重违法失信行为记录等名单的；</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7、本项目不接受联合体投标；</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8、法律、行政法规规定的其他条件。</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11</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资格审查方式：资格后审，合格制</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12</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报价方式：公开报价，合格的供应商具有再次报价的机会。</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13</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响应有效期：开标日后的90天（日历日）</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14</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磋商文件售价：200元（售后不退）；</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15</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获取磋商文件时间：2020年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日9:00—2020年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日16:30截止（北京时间，双休日、节假日除外）。</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（工作时间：上午9:00—12:00，下午13:00—16:30）；</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地点：青岛市市北区敦化路138号甲西王大厦24楼23A01室</w:t>
            </w:r>
            <w:r>
              <w:rPr>
                <w:rFonts w:hint="eastAsia" w:ascii="仿宋" w:hAnsi="仿宋" w:eastAsia="仿宋" w:cs="仿宋"/>
              </w:rPr>
              <w:t>。</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16</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ascii="仿宋" w:hAnsi="仿宋" w:eastAsia="仿宋"/>
                <w:sz w:val="24"/>
                <w:szCs w:val="24"/>
              </w:rPr>
            </w:pPr>
            <w:r>
              <w:rPr>
                <w:rFonts w:hint="eastAsia" w:ascii="仿宋" w:hAnsi="仿宋" w:eastAsia="仿宋"/>
                <w:sz w:val="24"/>
                <w:szCs w:val="24"/>
              </w:rPr>
              <w:t>报名方式:</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 w:hAnsi="仿宋" w:eastAsia="仿宋"/>
                <w:sz w:val="24"/>
                <w:szCs w:val="24"/>
              </w:rPr>
            </w:pPr>
            <w:r>
              <w:rPr>
                <w:rFonts w:hint="eastAsia" w:ascii="仿宋" w:hAnsi="仿宋" w:eastAsia="仿宋"/>
                <w:sz w:val="24"/>
                <w:szCs w:val="24"/>
              </w:rPr>
              <w:t>邮件报名：有意参加本次采购活动的供应商发送邮件。邮件内容：</w:t>
            </w:r>
            <w:r>
              <w:fldChar w:fldCharType="begin"/>
            </w:r>
            <w:r>
              <w:instrText xml:space="preserve"> HYPERLINK "mailto:项目名称、项目编号、包号、公司名称、联系人、联系电话、邮箱、营业执照副本扫描件、标书费汇款底单发送至山东盛和招标代理有限公司邮箱shzbqdb@163.com，邮件名称命名为" </w:instrText>
            </w:r>
            <w:r>
              <w:fldChar w:fldCharType="separate"/>
            </w:r>
            <w:r>
              <w:rPr>
                <w:rStyle w:val="25"/>
                <w:rFonts w:hint="eastAsia" w:ascii="仿宋" w:hAnsi="仿宋" w:eastAsia="仿宋"/>
                <w:sz w:val="24"/>
                <w:szCs w:val="24"/>
              </w:rPr>
              <w:t>项目名称、项目编号、公司名称、联系人、联系电话、邮箱、营业执照副本扫描件、标书费汇款底单发送至山东盛和招标代理有限公司邮箱shzbqdb@163.com，邮件名称命名为</w:t>
            </w:r>
            <w:r>
              <w:rPr>
                <w:rStyle w:val="25"/>
                <w:rFonts w:hint="eastAsia" w:ascii="仿宋" w:hAnsi="仿宋" w:eastAsia="仿宋"/>
                <w:sz w:val="24"/>
                <w:szCs w:val="24"/>
              </w:rPr>
              <w:fldChar w:fldCharType="end"/>
            </w:r>
            <w:r>
              <w:rPr>
                <w:rFonts w:hint="eastAsia" w:ascii="仿宋" w:hAnsi="仿宋" w:eastAsia="仿宋"/>
                <w:sz w:val="24"/>
                <w:szCs w:val="24"/>
              </w:rPr>
              <w:t xml:space="preserve"> 山东科技大学</w:t>
            </w:r>
            <w:r>
              <w:rPr>
                <w:rFonts w:hint="eastAsia" w:ascii="仿宋" w:hAnsi="仿宋" w:eastAsia="仿宋"/>
                <w:sz w:val="24"/>
                <w:szCs w:val="24"/>
                <w:lang w:eastAsia="zh-CN"/>
              </w:rPr>
              <w:t>SDSHZB2020-141</w:t>
            </w:r>
            <w:r>
              <w:rPr>
                <w:rFonts w:hint="eastAsia" w:ascii="仿宋" w:hAnsi="仿宋" w:eastAsia="仿宋"/>
                <w:sz w:val="24"/>
                <w:szCs w:val="24"/>
              </w:rPr>
              <w:t>-报名-“响应单位名称”。(提交标书费须从公司基本账户或一般账户转出，须标明项目编号)</w:t>
            </w:r>
          </w:p>
          <w:p>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jc w:val="left"/>
              <w:textAlignment w:val="auto"/>
              <w:rPr>
                <w:rFonts w:ascii="仿宋" w:hAnsi="仿宋" w:eastAsia="仿宋" w:cs="仿宋"/>
              </w:rPr>
            </w:pPr>
            <w:r>
              <w:rPr>
                <w:rFonts w:hint="eastAsia" w:ascii="仿宋" w:hAnsi="仿宋" w:eastAsia="仿宋" w:cs="仿宋"/>
                <w:sz w:val="24"/>
                <w:szCs w:val="24"/>
              </w:rPr>
              <w:t>开户名称：山东盛和招标代理有限公司</w:t>
            </w:r>
          </w:p>
          <w:p>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jc w:val="left"/>
              <w:textAlignment w:val="auto"/>
              <w:rPr>
                <w:rFonts w:ascii="仿宋" w:hAnsi="仿宋" w:eastAsia="仿宋" w:cs="仿宋"/>
              </w:rPr>
            </w:pPr>
            <w:r>
              <w:rPr>
                <w:rFonts w:hint="eastAsia" w:ascii="仿宋" w:hAnsi="仿宋" w:eastAsia="仿宋" w:cs="仿宋"/>
                <w:sz w:val="24"/>
                <w:szCs w:val="24"/>
              </w:rPr>
              <w:t>开户银行：兴业银行青岛市北支行</w:t>
            </w:r>
          </w:p>
          <w:p>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jc w:val="left"/>
              <w:textAlignment w:val="auto"/>
              <w:rPr>
                <w:rFonts w:ascii="仿宋" w:hAnsi="仿宋" w:eastAsia="仿宋" w:cs="仿宋"/>
              </w:rPr>
            </w:pPr>
            <w:r>
              <w:rPr>
                <w:rFonts w:hint="eastAsia" w:ascii="仿宋" w:hAnsi="仿宋" w:eastAsia="仿宋" w:cs="仿宋"/>
                <w:sz w:val="24"/>
                <w:szCs w:val="24"/>
              </w:rPr>
              <w:t>账    号：522130100100053768</w:t>
            </w:r>
          </w:p>
          <w:p>
            <w:pPr>
              <w:keepNext w:val="0"/>
              <w:keepLines w:val="0"/>
              <w:pageBreakBefore w:val="0"/>
              <w:widowControl w:val="0"/>
              <w:kinsoku/>
              <w:wordWrap/>
              <w:overflowPunct/>
              <w:topLinePunct w:val="0"/>
              <w:autoSpaceDE/>
              <w:autoSpaceDN/>
              <w:bidi w:val="0"/>
              <w:adjustRightInd/>
              <w:spacing w:line="440" w:lineRule="exact"/>
              <w:ind w:firstLine="720" w:firstLineChars="300"/>
              <w:jc w:val="left"/>
              <w:textAlignment w:val="auto"/>
              <w:rPr>
                <w:rFonts w:ascii="仿宋" w:hAnsi="仿宋" w:eastAsia="仿宋" w:cs="仿宋"/>
                <w:bCs/>
                <w:sz w:val="24"/>
                <w:szCs w:val="24"/>
              </w:rPr>
            </w:pPr>
            <w:r>
              <w:rPr>
                <w:rFonts w:hint="eastAsia" w:ascii="仿宋" w:hAnsi="仿宋" w:eastAsia="仿宋"/>
                <w:sz w:val="24"/>
                <w:szCs w:val="24"/>
              </w:rPr>
              <w:t>未按以上规定内容报名的视为报名无效。</w:t>
            </w:r>
          </w:p>
        </w:tc>
      </w:tr>
      <w:tr>
        <w:tblPrEx>
          <w:tblCellMar>
            <w:top w:w="0" w:type="dxa"/>
            <w:left w:w="28" w:type="dxa"/>
            <w:bottom w:w="0" w:type="dxa"/>
            <w:right w:w="28" w:type="dxa"/>
          </w:tblCellMar>
        </w:tblPrEx>
        <w:trPr>
          <w:trHeight w:val="551"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17</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lang w:val="en-US" w:eastAsia="zh-CN"/>
              </w:rPr>
            </w:pPr>
            <w:r>
              <w:rPr>
                <w:rFonts w:hint="eastAsia" w:ascii="仿宋" w:hAnsi="仿宋" w:eastAsia="仿宋" w:cs="仿宋"/>
                <w:color w:val="000000" w:themeColor="text1"/>
                <w:sz w:val="24"/>
                <w:szCs w:val="24"/>
                <w14:textFill>
                  <w14:solidFill>
                    <w14:schemeClr w14:val="tx1"/>
                  </w14:solidFill>
                </w14:textFill>
              </w:rPr>
              <w:t>保证金：</w:t>
            </w:r>
            <w:r>
              <w:rPr>
                <w:rFonts w:hint="eastAsia" w:ascii="仿宋" w:hAnsi="仿宋" w:eastAsia="仿宋" w:cs="仿宋"/>
                <w:color w:val="000000" w:themeColor="text1"/>
                <w:sz w:val="24"/>
                <w:szCs w:val="24"/>
                <w:lang w:eastAsia="zh-CN"/>
                <w14:textFill>
                  <w14:solidFill>
                    <w14:schemeClr w14:val="tx1"/>
                  </w14:solidFill>
                </w14:textFill>
              </w:rPr>
              <w:t>本项目不收取保证金。</w:t>
            </w:r>
          </w:p>
        </w:tc>
      </w:tr>
      <w:tr>
        <w:tblPrEx>
          <w:tblCellMar>
            <w:top w:w="0" w:type="dxa"/>
            <w:left w:w="28" w:type="dxa"/>
            <w:bottom w:w="0" w:type="dxa"/>
            <w:right w:w="28" w:type="dxa"/>
          </w:tblCellMar>
        </w:tblPrEx>
        <w:trPr>
          <w:trHeight w:val="311"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18</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b/>
                <w:bCs/>
                <w:sz w:val="24"/>
                <w:szCs w:val="24"/>
              </w:rPr>
            </w:pPr>
            <w:r>
              <w:rPr>
                <w:rFonts w:hint="eastAsia" w:ascii="仿宋" w:hAnsi="仿宋" w:eastAsia="仿宋"/>
                <w:b/>
                <w:bCs/>
                <w:sz w:val="24"/>
                <w:szCs w:val="24"/>
              </w:rPr>
              <w:t>踏勘现场:统一组织踏勘现场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Times New Roman"/>
                <w:b/>
                <w:bCs/>
                <w:sz w:val="24"/>
                <w:szCs w:val="24"/>
              </w:rPr>
            </w:pPr>
            <w:r>
              <w:rPr>
                <w:rFonts w:hint="eastAsia" w:ascii="仿宋" w:hAnsi="仿宋" w:eastAsia="仿宋" w:cs="Times New Roman"/>
                <w:b/>
                <w:bCs/>
                <w:sz w:val="24"/>
                <w:szCs w:val="24"/>
              </w:rPr>
              <w:t>响应文件内需附有经采购人签字的勘察现场登记表（登记表原件按包号胶装在相应包号的响应文件正本，登记表复印件胶装在副本）。</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b/>
                <w:bCs/>
                <w:sz w:val="24"/>
                <w:szCs w:val="24"/>
              </w:rPr>
            </w:pPr>
            <w:r>
              <w:rPr>
                <w:rFonts w:hint="eastAsia" w:ascii="仿宋" w:hAnsi="仿宋" w:eastAsia="仿宋"/>
                <w:b/>
                <w:bCs/>
                <w:sz w:val="24"/>
                <w:szCs w:val="24"/>
              </w:rPr>
              <w:t>踏勘现场时间：2020年</w:t>
            </w:r>
            <w:r>
              <w:rPr>
                <w:rFonts w:hint="eastAsia" w:ascii="仿宋" w:hAnsi="仿宋" w:eastAsia="仿宋"/>
                <w:b/>
                <w:bCs/>
                <w:sz w:val="24"/>
                <w:szCs w:val="24"/>
                <w:lang w:val="en-US" w:eastAsia="zh-CN"/>
              </w:rPr>
              <w:t>4</w:t>
            </w:r>
            <w:r>
              <w:rPr>
                <w:rFonts w:hint="eastAsia" w:ascii="仿宋" w:hAnsi="仿宋" w:eastAsia="仿宋"/>
                <w:b/>
                <w:bCs/>
                <w:sz w:val="24"/>
                <w:szCs w:val="24"/>
              </w:rPr>
              <w:t>月</w:t>
            </w:r>
            <w:r>
              <w:rPr>
                <w:rFonts w:hint="eastAsia" w:ascii="仿宋" w:hAnsi="仿宋" w:eastAsia="仿宋"/>
                <w:b/>
                <w:bCs/>
                <w:sz w:val="24"/>
                <w:szCs w:val="24"/>
                <w:lang w:val="en-US" w:eastAsia="zh-CN"/>
              </w:rPr>
              <w:t>24</w:t>
            </w:r>
            <w:r>
              <w:rPr>
                <w:rFonts w:hint="eastAsia" w:ascii="仿宋" w:hAnsi="仿宋" w:eastAsia="仿宋"/>
                <w:b/>
                <w:bCs/>
                <w:sz w:val="24"/>
                <w:szCs w:val="24"/>
              </w:rPr>
              <w:t>日上午10:00</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b/>
                <w:bCs/>
                <w:sz w:val="24"/>
                <w:szCs w:val="24"/>
              </w:rPr>
            </w:pPr>
            <w:r>
              <w:rPr>
                <w:rFonts w:hint="eastAsia" w:ascii="仿宋" w:hAnsi="仿宋" w:eastAsia="仿宋"/>
                <w:b/>
                <w:bCs/>
                <w:sz w:val="24"/>
                <w:szCs w:val="24"/>
              </w:rPr>
              <w:t>集合地点：山东科技大学南大门外侧集合</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仿宋" w:hAnsi="仿宋" w:eastAsia="宋体"/>
                <w:b/>
                <w:bCs/>
                <w:sz w:val="24"/>
                <w:szCs w:val="24"/>
                <w:lang w:val="en-US" w:eastAsia="zh-CN"/>
              </w:rPr>
            </w:pPr>
            <w:r>
              <w:rPr>
                <w:rFonts w:hint="eastAsia" w:ascii="仿宋" w:hAnsi="仿宋" w:eastAsia="仿宋"/>
                <w:b/>
                <w:bCs/>
                <w:sz w:val="24"/>
                <w:szCs w:val="24"/>
              </w:rPr>
              <w:t>联系人及联系方式：</w:t>
            </w:r>
            <w:r>
              <w:rPr>
                <w:rFonts w:hint="eastAsia" w:ascii="仿宋" w:hAnsi="仿宋" w:eastAsia="仿宋"/>
                <w:b/>
                <w:bCs/>
                <w:sz w:val="24"/>
                <w:szCs w:val="24"/>
                <w:lang w:eastAsia="zh-CN"/>
              </w:rPr>
              <w:t>张</w:t>
            </w:r>
            <w:r>
              <w:rPr>
                <w:rFonts w:hint="eastAsia" w:ascii="仿宋" w:hAnsi="仿宋" w:eastAsia="仿宋"/>
                <w:b/>
                <w:bCs/>
                <w:sz w:val="24"/>
                <w:szCs w:val="24"/>
              </w:rPr>
              <w:t>老</w:t>
            </w:r>
            <w:r>
              <w:rPr>
                <w:rFonts w:hint="eastAsia" w:ascii="仿宋" w:hAnsi="仿宋" w:eastAsia="仿宋"/>
                <w:b/>
                <w:bCs/>
                <w:sz w:val="24"/>
                <w:szCs w:val="24"/>
              </w:rPr>
              <w:t xml:space="preserve">师 </w:t>
            </w:r>
            <w:r>
              <w:rPr>
                <w:rFonts w:hint="eastAsia" w:ascii="仿宋" w:hAnsi="仿宋" w:eastAsia="仿宋"/>
                <w:b/>
                <w:bCs/>
                <w:sz w:val="24"/>
                <w:szCs w:val="24"/>
                <w:lang w:val="en-US" w:eastAsia="zh-CN"/>
              </w:rPr>
              <w:t>0532-80698029</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b/>
              </w:rPr>
            </w:pPr>
            <w:r>
              <w:rPr>
                <w:rFonts w:hint="eastAsia" w:ascii="仿宋" w:hAnsi="仿宋" w:eastAsia="仿宋"/>
                <w:b/>
                <w:bCs/>
                <w:sz w:val="24"/>
                <w:szCs w:val="24"/>
              </w:rPr>
              <w:t>注：疫情期间请各单位人员自行佩戴防护用品踏勘现场并保持安全距离。</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19</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采购答疑：</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1、答疑文件提交：磋商文件发售截止时间次日17点前</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2、份数：书面形式一份，WORD电子文档一份邮件到shzbqdb@163.com</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地点：青岛市市北区敦化路138号甲西王大厦24楼23A0</w:t>
            </w:r>
            <w:r>
              <w:rPr>
                <w:rFonts w:hint="eastAsia" w:ascii="仿宋" w:hAnsi="仿宋" w:eastAsia="仿宋" w:cs="仿宋"/>
                <w:sz w:val="24"/>
                <w:szCs w:val="24"/>
                <w:lang w:val="en-US" w:eastAsia="zh-CN"/>
              </w:rPr>
              <w:t>2</w:t>
            </w:r>
            <w:r>
              <w:rPr>
                <w:rFonts w:hint="eastAsia" w:ascii="仿宋" w:hAnsi="仿宋" w:eastAsia="仿宋" w:cs="仿宋"/>
                <w:sz w:val="24"/>
                <w:szCs w:val="24"/>
              </w:rPr>
              <w:t>室</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答疑文件领取：</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时间：另行通知</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地点：青岛市市北区敦化路138号甲西王大厦24楼23A0</w:t>
            </w:r>
            <w:r>
              <w:rPr>
                <w:rFonts w:hint="eastAsia" w:ascii="仿宋" w:hAnsi="仿宋" w:eastAsia="仿宋" w:cs="仿宋"/>
                <w:sz w:val="24"/>
                <w:szCs w:val="24"/>
                <w:lang w:val="en-US" w:eastAsia="zh-CN"/>
              </w:rPr>
              <w:t>2</w:t>
            </w:r>
            <w:r>
              <w:rPr>
                <w:rFonts w:hint="eastAsia" w:ascii="仿宋" w:hAnsi="仿宋" w:eastAsia="仿宋" w:cs="仿宋"/>
                <w:sz w:val="24"/>
                <w:szCs w:val="24"/>
              </w:rPr>
              <w:t>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20</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本项目不接受供应商多方案报价。</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21</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bCs/>
                <w:sz w:val="24"/>
                <w:szCs w:val="24"/>
              </w:rPr>
            </w:pPr>
            <w:r>
              <w:rPr>
                <w:rFonts w:hint="eastAsia" w:ascii="仿宋" w:hAnsi="仿宋" w:eastAsia="仿宋" w:cs="仿宋"/>
                <w:sz w:val="24"/>
                <w:szCs w:val="24"/>
              </w:rPr>
              <w:t>响应文件及资料的份数：报价一览表一份单独密封，</w:t>
            </w:r>
            <w:r>
              <w:rPr>
                <w:rFonts w:hint="eastAsia" w:ascii="仿宋" w:hAnsi="仿宋" w:eastAsia="仿宋" w:cs="仿宋"/>
                <w:bCs/>
                <w:sz w:val="24"/>
                <w:szCs w:val="24"/>
              </w:rPr>
              <w:t>正本一份，副本伍份，电子文档一份（WORD及EXCEL版本）、资质证明文件及相关材料，以上文件分别密封。</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pacing w:val="-8"/>
                <w:sz w:val="24"/>
                <w:szCs w:val="24"/>
              </w:rPr>
              <w:t>供应商应按本须知前附表所规定的地点，于截止时间前提交上述资料。</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22</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bookmarkStart w:id="4" w:name="OLE_LINK54"/>
            <w:bookmarkStart w:id="5" w:name="OLE_LINK55"/>
            <w:r>
              <w:rPr>
                <w:rFonts w:hint="eastAsia" w:ascii="仿宋" w:hAnsi="仿宋" w:eastAsia="仿宋" w:cs="仿宋"/>
                <w:sz w:val="24"/>
                <w:szCs w:val="24"/>
              </w:rPr>
              <w:t>付款方式：</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ascii="仿宋" w:hAnsi="仿宋" w:eastAsia="仿宋" w:cs="仿宋"/>
                <w:bCs/>
                <w:sz w:val="24"/>
                <w:szCs w:val="24"/>
              </w:rPr>
            </w:pPr>
            <w:r>
              <w:rPr>
                <w:rFonts w:hint="eastAsia" w:ascii="仿宋" w:hAnsi="仿宋" w:eastAsia="仿宋" w:cs="仿宋"/>
                <w:bCs/>
                <w:sz w:val="24"/>
                <w:szCs w:val="24"/>
              </w:rPr>
              <w:t>签订合同前，缴纳履约保证金，乙方支付成交价款5％作为履约保证金，工程竣工经验收合格并审计完毕，依据审计结果付总工程造价的100%，履约保证金在</w:t>
            </w:r>
            <w:r>
              <w:rPr>
                <w:rFonts w:hint="eastAsia" w:ascii="仿宋" w:hAnsi="仿宋" w:eastAsia="仿宋" w:cs="仿宋"/>
                <w:sz w:val="24"/>
                <w:szCs w:val="24"/>
              </w:rPr>
              <w:t>工程保修期</w:t>
            </w:r>
            <w:r>
              <w:rPr>
                <w:rFonts w:hint="eastAsia" w:ascii="仿宋" w:hAnsi="仿宋" w:eastAsia="仿宋" w:cs="仿宋"/>
                <w:bCs/>
                <w:sz w:val="24"/>
                <w:szCs w:val="24"/>
              </w:rPr>
              <w:t>满后一月内无息付清。</w:t>
            </w:r>
            <w:bookmarkEnd w:id="4"/>
            <w:bookmarkEnd w:id="5"/>
          </w:p>
        </w:tc>
      </w:tr>
      <w:tr>
        <w:tblPrEx>
          <w:tblCellMar>
            <w:top w:w="0" w:type="dxa"/>
            <w:left w:w="28" w:type="dxa"/>
            <w:bottom w:w="0" w:type="dxa"/>
            <w:right w:w="28" w:type="dxa"/>
          </w:tblCellMar>
        </w:tblPrEx>
        <w:trPr>
          <w:trHeight w:val="1027"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23</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履约保证金：</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签订合同前，成交供应商从公司账户以电汇等非现金形式按照成交金额的5%向采购人交纳履约保证金。</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24</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b/>
                <w:sz w:val="24"/>
                <w:szCs w:val="24"/>
              </w:rPr>
            </w:pPr>
            <w:r>
              <w:rPr>
                <w:rFonts w:hint="eastAsia" w:ascii="仿宋" w:hAnsi="仿宋" w:eastAsia="仿宋" w:cs="仿宋"/>
                <w:b/>
                <w:sz w:val="24"/>
                <w:szCs w:val="24"/>
              </w:rPr>
              <w:t>响应文件递交方式：</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b/>
                <w:sz w:val="24"/>
                <w:szCs w:val="24"/>
              </w:rPr>
            </w:pPr>
            <w:r>
              <w:rPr>
                <w:rFonts w:hint="eastAsia" w:ascii="仿宋" w:hAnsi="仿宋" w:eastAsia="仿宋" w:cs="仿宋"/>
                <w:b/>
                <w:sz w:val="24"/>
                <w:szCs w:val="24"/>
              </w:rPr>
              <w:t>1、供应商递交响应文件均采用快递形式递交，邮费自付。</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b/>
                <w:sz w:val="24"/>
                <w:szCs w:val="24"/>
              </w:rPr>
            </w:pPr>
            <w:r>
              <w:rPr>
                <w:rFonts w:hint="eastAsia" w:ascii="仿宋" w:hAnsi="仿宋" w:eastAsia="仿宋" w:cs="仿宋"/>
                <w:b/>
                <w:sz w:val="24"/>
                <w:szCs w:val="24"/>
              </w:rPr>
              <w:t>2、供应商须选择合适快递公司将响应文件，在磋商文件规定的响应文件递交截止时间前寄送到磋商文件规定的地点，逾期或未递交到指定地点的视为无效响应。</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b/>
                <w:sz w:val="24"/>
                <w:szCs w:val="24"/>
              </w:rPr>
            </w:pPr>
            <w:r>
              <w:rPr>
                <w:rFonts w:hint="eastAsia" w:ascii="仿宋" w:hAnsi="仿宋" w:eastAsia="仿宋" w:cs="仿宋"/>
                <w:b/>
                <w:sz w:val="24"/>
                <w:szCs w:val="24"/>
              </w:rPr>
              <w:t>3、响应文件递交截止时间：2020年4月</w:t>
            </w:r>
            <w:r>
              <w:rPr>
                <w:rFonts w:hint="eastAsia" w:ascii="仿宋" w:hAnsi="仿宋" w:eastAsia="仿宋" w:cs="仿宋"/>
                <w:b/>
                <w:sz w:val="24"/>
                <w:szCs w:val="24"/>
                <w:lang w:val="en-US" w:eastAsia="zh-CN"/>
              </w:rPr>
              <w:t>28</w:t>
            </w:r>
            <w:r>
              <w:rPr>
                <w:rFonts w:hint="eastAsia" w:ascii="仿宋" w:hAnsi="仿宋" w:eastAsia="仿宋" w:cs="仿宋"/>
                <w:b/>
                <w:sz w:val="24"/>
                <w:szCs w:val="24"/>
              </w:rPr>
              <w:t>日09:30（北京时间）</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b/>
                <w:sz w:val="24"/>
                <w:szCs w:val="24"/>
              </w:rPr>
            </w:pPr>
            <w:r>
              <w:rPr>
                <w:rFonts w:hint="eastAsia" w:ascii="仿宋" w:hAnsi="仿宋" w:eastAsia="仿宋" w:cs="仿宋"/>
                <w:b/>
                <w:sz w:val="24"/>
                <w:szCs w:val="24"/>
              </w:rPr>
              <w:t>4、响应文件递交地点：青岛市市北区敦化路138号甲西王大厦24楼23A0</w:t>
            </w:r>
            <w:r>
              <w:rPr>
                <w:rFonts w:hint="eastAsia" w:ascii="仿宋" w:hAnsi="仿宋" w:eastAsia="仿宋" w:cs="仿宋"/>
                <w:b/>
                <w:sz w:val="24"/>
                <w:szCs w:val="24"/>
                <w:lang w:val="en-US" w:eastAsia="zh-CN"/>
              </w:rPr>
              <w:t>2</w:t>
            </w:r>
            <w:r>
              <w:rPr>
                <w:rFonts w:hint="eastAsia" w:ascii="仿宋" w:hAnsi="仿宋" w:eastAsia="仿宋" w:cs="仿宋"/>
                <w:b/>
                <w:sz w:val="24"/>
                <w:szCs w:val="24"/>
              </w:rPr>
              <w:t>室。</w:t>
            </w:r>
          </w:p>
          <w:p>
            <w:pPr>
              <w:keepNext w:val="0"/>
              <w:keepLines w:val="0"/>
              <w:pageBreakBefore w:val="0"/>
              <w:widowControl w:val="0"/>
              <w:kinsoku/>
              <w:wordWrap/>
              <w:overflowPunct/>
              <w:topLinePunct w:val="0"/>
              <w:autoSpaceDE/>
              <w:autoSpaceDN/>
              <w:bidi w:val="0"/>
              <w:adjustRightInd/>
              <w:snapToGrid w:val="0"/>
              <w:spacing w:line="440" w:lineRule="exact"/>
              <w:ind w:firstLine="1060" w:firstLineChars="440"/>
              <w:jc w:val="left"/>
              <w:textAlignment w:val="auto"/>
              <w:rPr>
                <w:rFonts w:ascii="仿宋" w:hAnsi="仿宋" w:eastAsia="仿宋" w:cs="仿宋"/>
                <w:b/>
                <w:sz w:val="24"/>
                <w:szCs w:val="24"/>
              </w:rPr>
            </w:pPr>
            <w:r>
              <w:rPr>
                <w:rFonts w:hint="eastAsia" w:ascii="仿宋" w:hAnsi="仿宋" w:eastAsia="仿宋" w:cs="仿宋"/>
                <w:b/>
                <w:sz w:val="24"/>
                <w:szCs w:val="24"/>
              </w:rPr>
              <w:t>项目联系人：陈长海    联系电话：15615727352</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25</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highlight w:val="yellow"/>
              </w:rPr>
            </w:pPr>
            <w:r>
              <w:rPr>
                <w:rFonts w:hint="eastAsia" w:ascii="仿宋" w:hAnsi="仿宋" w:eastAsia="仿宋" w:cs="仿宋"/>
                <w:sz w:val="24"/>
                <w:szCs w:val="24"/>
              </w:rPr>
              <w:t>接受单位：山东盛和招标代理有限公司</w:t>
            </w:r>
          </w:p>
        </w:tc>
      </w:tr>
      <w:tr>
        <w:tblPrEx>
          <w:tblCellMar>
            <w:top w:w="0" w:type="dxa"/>
            <w:left w:w="28" w:type="dxa"/>
            <w:bottom w:w="0" w:type="dxa"/>
            <w:right w:w="28" w:type="dxa"/>
          </w:tblCellMar>
        </w:tblPrEx>
        <w:trPr>
          <w:trHeight w:val="306"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26</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bCs/>
                <w:sz w:val="24"/>
                <w:szCs w:val="24"/>
              </w:rPr>
            </w:pPr>
            <w:r>
              <w:rPr>
                <w:rFonts w:hint="eastAsia" w:ascii="仿宋" w:hAnsi="仿宋" w:eastAsia="仿宋" w:cs="仿宋"/>
                <w:bCs/>
                <w:sz w:val="24"/>
                <w:szCs w:val="24"/>
              </w:rPr>
              <w:t>报价时间：2020年</w:t>
            </w:r>
            <w:r>
              <w:rPr>
                <w:rFonts w:hint="eastAsia" w:ascii="仿宋" w:hAnsi="仿宋" w:eastAsia="仿宋" w:cs="仿宋"/>
                <w:bCs/>
                <w:sz w:val="24"/>
                <w:szCs w:val="24"/>
                <w:lang w:val="en-US" w:eastAsia="zh-CN"/>
              </w:rPr>
              <w:t>4</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28</w:t>
            </w:r>
            <w:r>
              <w:rPr>
                <w:rFonts w:hint="eastAsia" w:ascii="仿宋" w:hAnsi="仿宋" w:eastAsia="仿宋" w:cs="仿宋"/>
                <w:bCs/>
                <w:sz w:val="24"/>
                <w:szCs w:val="24"/>
              </w:rPr>
              <w:t>日09:30（北京时间） </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bCs/>
                <w:sz w:val="24"/>
                <w:szCs w:val="24"/>
              </w:rPr>
              <w:t>报价地点：青岛市市北区敦化路138号甲西王大厦24楼23A0</w:t>
            </w:r>
            <w:r>
              <w:rPr>
                <w:rFonts w:hint="eastAsia" w:ascii="仿宋" w:hAnsi="仿宋" w:eastAsia="仿宋" w:cs="仿宋"/>
                <w:bCs/>
                <w:sz w:val="24"/>
                <w:szCs w:val="24"/>
                <w:lang w:val="en-US" w:eastAsia="zh-CN"/>
              </w:rPr>
              <w:t>2</w:t>
            </w:r>
            <w:r>
              <w:rPr>
                <w:rFonts w:hint="eastAsia" w:ascii="仿宋" w:hAnsi="仿宋" w:eastAsia="仿宋" w:cs="仿宋"/>
                <w:bCs/>
                <w:sz w:val="24"/>
                <w:szCs w:val="24"/>
              </w:rPr>
              <w:t>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27</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评审方法及标准：综合评分法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28</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采购单位：山东科技大学</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联系人及电话：阎老师 0532-86057892</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仿宋" w:hAnsi="仿宋" w:eastAsia="宋体" w:cs="仿宋"/>
                <w:sz w:val="24"/>
                <w:szCs w:val="24"/>
                <w:lang w:val="en-US" w:eastAsia="zh-CN"/>
              </w:rPr>
            </w:pPr>
            <w:r>
              <w:rPr>
                <w:rFonts w:hint="eastAsia" w:ascii="仿宋" w:hAnsi="仿宋" w:eastAsia="仿宋" w:cs="仿宋"/>
                <w:sz w:val="24"/>
                <w:szCs w:val="24"/>
              </w:rPr>
              <w:t>技术咨询人及电话：</w:t>
            </w:r>
            <w:r>
              <w:rPr>
                <w:rFonts w:hint="eastAsia" w:ascii="仿宋" w:hAnsi="仿宋" w:eastAsia="仿宋" w:cs="仿宋"/>
                <w:sz w:val="24"/>
                <w:szCs w:val="24"/>
                <w:lang w:eastAsia="zh-CN"/>
              </w:rPr>
              <w:t>张</w:t>
            </w:r>
            <w:r>
              <w:rPr>
                <w:rFonts w:hint="eastAsia" w:ascii="仿宋" w:hAnsi="仿宋" w:eastAsia="仿宋" w:cs="仿宋"/>
                <w:sz w:val="24"/>
                <w:szCs w:val="24"/>
              </w:rPr>
              <w:t>老师</w:t>
            </w:r>
            <w:r>
              <w:rPr>
                <w:rFonts w:hint="eastAsia" w:ascii="仿宋" w:hAnsi="仿宋" w:eastAsia="仿宋" w:cs="仿宋"/>
                <w:sz w:val="24"/>
                <w:szCs w:val="24"/>
                <w:lang w:val="en-US" w:eastAsia="zh-CN"/>
              </w:rPr>
              <w:t xml:space="preserve"> 0532-80698029</w:t>
            </w:r>
            <w:bookmarkStart w:id="53" w:name="_GoBack"/>
            <w:bookmarkEnd w:id="53"/>
          </w:p>
        </w:tc>
      </w:tr>
      <w:tr>
        <w:tblPrEx>
          <w:tblCellMar>
            <w:top w:w="0" w:type="dxa"/>
            <w:left w:w="28" w:type="dxa"/>
            <w:bottom w:w="0" w:type="dxa"/>
            <w:right w:w="28" w:type="dxa"/>
          </w:tblCellMar>
        </w:tblPrEx>
        <w:trPr>
          <w:trHeight w:val="183"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29</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rPr>
            </w:pPr>
            <w:r>
              <w:rPr>
                <w:rFonts w:hint="eastAsia" w:ascii="仿宋" w:hAnsi="仿宋" w:eastAsia="仿宋" w:cs="仿宋"/>
                <w:sz w:val="24"/>
                <w:szCs w:val="24"/>
              </w:rPr>
              <w:t>采购代理机构：山东盛和招标代理有限公司</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rPr>
            </w:pPr>
            <w:r>
              <w:rPr>
                <w:rFonts w:hint="eastAsia" w:ascii="仿宋" w:hAnsi="仿宋" w:eastAsia="仿宋" w:cs="仿宋"/>
                <w:sz w:val="24"/>
                <w:szCs w:val="24"/>
              </w:rPr>
              <w:t>地址：青岛市市北区敦化路138号甲西王大厦24楼23A01室</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rPr>
            </w:pPr>
            <w:r>
              <w:rPr>
                <w:rFonts w:hint="eastAsia" w:ascii="仿宋" w:hAnsi="仿宋" w:eastAsia="仿宋" w:cs="仿宋"/>
                <w:sz w:val="24"/>
                <w:szCs w:val="24"/>
              </w:rPr>
              <w:t>联系人：</w:t>
            </w:r>
            <w:r>
              <w:rPr>
                <w:rFonts w:hint="eastAsia" w:ascii="仿宋" w:hAnsi="仿宋" w:eastAsia="仿宋" w:cs="仿宋"/>
                <w:sz w:val="24"/>
                <w:szCs w:val="24"/>
                <w:lang w:val="zh-CN"/>
              </w:rPr>
              <w:t>陈长海、王梦迪、马诗晴、</w:t>
            </w:r>
            <w:r>
              <w:rPr>
                <w:rFonts w:hint="eastAsia" w:ascii="仿宋" w:hAnsi="仿宋" w:eastAsia="仿宋" w:cs="仿宋"/>
                <w:sz w:val="24"/>
                <w:szCs w:val="24"/>
              </w:rPr>
              <w:t>贺鹏琦</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rPr>
            </w:pPr>
            <w:r>
              <w:rPr>
                <w:rFonts w:hint="eastAsia" w:ascii="仿宋" w:hAnsi="仿宋" w:eastAsia="仿宋" w:cs="仿宋"/>
                <w:sz w:val="24"/>
                <w:szCs w:val="24"/>
              </w:rPr>
              <w:t>联系电话：</w:t>
            </w:r>
            <w:r>
              <w:rPr>
                <w:rFonts w:hint="eastAsia" w:ascii="仿宋" w:hAnsi="仿宋" w:eastAsia="仿宋" w:cs="仿宋"/>
                <w:sz w:val="24"/>
                <w:szCs w:val="24"/>
                <w:lang w:val="zh-CN"/>
              </w:rPr>
              <w:t>0532-85659918、0532-66701999、</w:t>
            </w:r>
            <w:r>
              <w:rPr>
                <w:rFonts w:hint="eastAsia" w:ascii="仿宋" w:hAnsi="仿宋" w:eastAsia="仿宋" w:cs="仿宋"/>
                <w:sz w:val="24"/>
                <w:szCs w:val="24"/>
              </w:rPr>
              <w:t>15615727352</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30</w:t>
            </w:r>
          </w:p>
        </w:tc>
        <w:tc>
          <w:tcPr>
            <w:tcW w:w="8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本项目可磋商内容：采购需求中的技术、服务要求以及合同草案条款。</w:t>
            </w:r>
          </w:p>
        </w:tc>
      </w:tr>
    </w:tbl>
    <w:p>
      <w:pPr>
        <w:jc w:val="center"/>
        <w:rPr>
          <w:rFonts w:ascii="仿宋" w:hAnsi="仿宋" w:eastAsia="仿宋" w:cs="仿宋"/>
          <w:sz w:val="40"/>
        </w:rPr>
      </w:pPr>
      <w:bookmarkStart w:id="6" w:name="_Toc12146"/>
      <w:bookmarkStart w:id="7" w:name="_Toc535048498"/>
      <w:r>
        <w:rPr>
          <w:rFonts w:hint="eastAsia" w:ascii="仿宋" w:hAnsi="仿宋" w:eastAsia="仿宋" w:cs="仿宋"/>
          <w:sz w:val="40"/>
        </w:rPr>
        <w:br w:type="page"/>
      </w:r>
      <w:bookmarkStart w:id="8" w:name="_Toc28203"/>
      <w:r>
        <w:rPr>
          <w:rFonts w:hint="eastAsia" w:ascii="仿宋" w:hAnsi="仿宋" w:eastAsia="仿宋" w:cs="仿宋"/>
          <w:sz w:val="40"/>
        </w:rPr>
        <w:t>二、响应须知</w:t>
      </w:r>
      <w:bookmarkEnd w:id="6"/>
      <w:bookmarkEnd w:id="7"/>
      <w:bookmarkEnd w:id="8"/>
    </w:p>
    <w:p>
      <w:pPr>
        <w:pStyle w:val="4"/>
        <w:spacing w:before="0" w:after="0" w:line="360" w:lineRule="auto"/>
        <w:jc w:val="left"/>
        <w:rPr>
          <w:rFonts w:ascii="仿宋" w:hAnsi="仿宋" w:eastAsia="仿宋" w:cs="仿宋"/>
          <w:sz w:val="24"/>
          <w:szCs w:val="24"/>
        </w:rPr>
      </w:pPr>
      <w:bookmarkStart w:id="9" w:name="_Toc12818"/>
      <w:bookmarkStart w:id="10" w:name="_Toc8715"/>
      <w:bookmarkStart w:id="11" w:name="_Toc535048499"/>
      <w:r>
        <w:rPr>
          <w:rFonts w:hint="eastAsia" w:ascii="仿宋" w:hAnsi="仿宋" w:eastAsia="仿宋" w:cs="仿宋"/>
          <w:sz w:val="24"/>
          <w:szCs w:val="24"/>
        </w:rPr>
        <w:t>（一）总  则</w:t>
      </w:r>
      <w:bookmarkEnd w:id="9"/>
      <w:bookmarkEnd w:id="10"/>
      <w:bookmarkEnd w:id="11"/>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1、工程说明</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1.1本工程项目说明详见本须知前附表。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1.2本工程按照有关法律、行政法规和部门规章，现通过竞争性磋商方式，择优选择成交人。</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2、采购范围及工期</w:t>
      </w:r>
      <w:r>
        <w:rPr>
          <w:rFonts w:hint="eastAsia" w:ascii="仿宋" w:hAnsi="仿宋" w:eastAsia="仿宋" w:cs="仿宋"/>
          <w:sz w:val="24"/>
          <w:szCs w:val="24"/>
        </w:rPr>
        <w:t>：</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2.1本工程项目的采购范围详见本须知前附表。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2.2本工程项目的工期要求为：承包人必须在合同规定的时间内完成任务并达到验收合格标准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2.3验收标准：合格。</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3、合格的供应商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3.1具有采购须知前附表第10项规定资质；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3.2 本次采购不接受联合体投标；</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3.3 供应商提供的有关证明必须真实可靠。</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4、踏勘现场</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4.1 按本须知前附表所述的规定，供应商对工程现场及周围环境进行踏勘，以便获取有关编制响应文件和签署合同所涉及现场的资料。供应商承担踏勘现场所发生的一切费用。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4.2 采购单位向供应商提供的有关现场的资料和数据，是采购单位现有的能使供应商利用的资料。采购单位对供应商由此而做出的理解、推论和结论不承担责任；</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4.3 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4.4 供应商考察现场后将被认为已了解工程项目现场情况，掌握了编制响应文件所需的有关条件；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4.5 供应商在勘查现场时应认真了解工程项目周边状况，充分考虑周围建筑物、地质、水文等因素对报价的影响。</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5．费用</w:t>
      </w:r>
    </w:p>
    <w:p>
      <w:pPr>
        <w:overflowPunct w:val="0"/>
        <w:autoSpaceDE w:val="0"/>
        <w:snapToGrid w:val="0"/>
        <w:spacing w:line="360" w:lineRule="auto"/>
        <w:ind w:firstLine="482"/>
        <w:jc w:val="left"/>
        <w:rPr>
          <w:rFonts w:ascii="仿宋" w:hAnsi="仿宋" w:eastAsia="仿宋" w:cs="仿宋"/>
          <w:sz w:val="24"/>
          <w:szCs w:val="24"/>
        </w:rPr>
      </w:pPr>
      <w:r>
        <w:rPr>
          <w:rFonts w:hint="eastAsia" w:ascii="仿宋" w:hAnsi="仿宋" w:eastAsia="仿宋" w:cs="仿宋"/>
          <w:sz w:val="24"/>
          <w:szCs w:val="24"/>
        </w:rPr>
        <w:t>5.1 供应商应承担其参加本次响应活动自身所发生的一切费用。不论采购结果如何，采购单位及采购代理单位对上述费用不负任何责任。所递交的所有与响应有关的资料均不予退还。</w:t>
      </w:r>
    </w:p>
    <w:p>
      <w:pPr>
        <w:pStyle w:val="2"/>
        <w:spacing w:line="360" w:lineRule="auto"/>
        <w:ind w:firstLine="482"/>
        <w:rPr>
          <w:rFonts w:ascii="仿宋" w:hAnsi="仿宋" w:eastAsia="仿宋" w:cs="仿宋"/>
          <w:sz w:val="24"/>
          <w:szCs w:val="24"/>
          <w:lang w:val="zh-CN"/>
        </w:rPr>
      </w:pPr>
      <w:r>
        <w:rPr>
          <w:rFonts w:hint="eastAsia" w:ascii="仿宋" w:hAnsi="仿宋" w:eastAsia="仿宋" w:cs="仿宋"/>
          <w:sz w:val="24"/>
          <w:szCs w:val="24"/>
        </w:rPr>
        <w:t>5.2.1 本工程采购代理服务费由成交人支付。</w:t>
      </w:r>
      <w:r>
        <w:rPr>
          <w:rFonts w:hint="eastAsia" w:ascii="仿宋" w:hAnsi="仿宋" w:eastAsia="仿宋" w:cs="仿宋"/>
          <w:sz w:val="24"/>
          <w:szCs w:val="24"/>
          <w:lang w:val="zh-CN"/>
        </w:rPr>
        <w:t>成交人在签订合同前，</w:t>
      </w:r>
      <w:r>
        <w:rPr>
          <w:rFonts w:hint="eastAsia" w:ascii="仿宋" w:hAnsi="仿宋" w:eastAsia="仿宋"/>
          <w:sz w:val="24"/>
          <w:szCs w:val="24"/>
          <w:lang w:val="zh-CN"/>
        </w:rPr>
        <w:t>自成交公告发布之日起5个工作日内</w:t>
      </w:r>
      <w:r>
        <w:rPr>
          <w:rFonts w:hint="eastAsia" w:ascii="仿宋" w:hAnsi="仿宋" w:eastAsia="仿宋" w:cs="仿宋"/>
          <w:sz w:val="24"/>
          <w:szCs w:val="24"/>
          <w:lang w:val="zh-CN"/>
        </w:rPr>
        <w:t>按国家计委计价格[2002]1980号文规定的75%向山东盛和招标代理有限公司交纳成交服务费。</w:t>
      </w:r>
    </w:p>
    <w:p>
      <w:pPr>
        <w:pStyle w:val="4"/>
        <w:spacing w:before="0" w:after="0" w:line="360" w:lineRule="auto"/>
        <w:rPr>
          <w:rFonts w:ascii="仿宋" w:hAnsi="仿宋" w:eastAsia="仿宋" w:cs="仿宋"/>
          <w:sz w:val="24"/>
          <w:szCs w:val="24"/>
        </w:rPr>
      </w:pPr>
      <w:bookmarkStart w:id="12" w:name="_Toc21475"/>
      <w:bookmarkStart w:id="13" w:name="_Toc23227"/>
      <w:bookmarkStart w:id="14" w:name="_Toc535048500"/>
      <w:r>
        <w:rPr>
          <w:rFonts w:hint="eastAsia" w:ascii="仿宋" w:hAnsi="仿宋" w:eastAsia="仿宋" w:cs="仿宋"/>
          <w:sz w:val="24"/>
          <w:szCs w:val="24"/>
        </w:rPr>
        <w:t>（二）磋商文件</w:t>
      </w:r>
      <w:bookmarkEnd w:id="12"/>
      <w:bookmarkEnd w:id="13"/>
      <w:bookmarkEnd w:id="14"/>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6．磋商文件的组成</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6.1 磋商文件的取得及处理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6.1.1供应商应从山东盛和招标代理有限公司处购买磋商文件，磋商文件一经售出概不退还。</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6.1.2磋商文件应保密，不得向他人泄露磋商文件的任何内容和细节，供应商之间不得相互串通，故意提高或压低报价，若出现或发现上述情况，采购单位有权取消此次采购活动。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6.2 磋商文件包括下列内容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第一章  响应须知及前附表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第二章  供应商应当提交的资格、资信等证明文件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第三章  合同条款</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第四章  项目说明及工程量清单</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第五章  响应文件格式</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第六章  具体评审办法</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第七章  响应文件格式</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6.3 除6．2内容外，采购单位以书面形式发出的对磋商文件的澄清或修改内容，均为磋商文件的组成部分，对采购单位和供应商起约束作用。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6.4 供应商获取磋商文件后，应仔细检查磋商文件的所有内容，如有问题应在获得磋商文件1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7．磋商文件的澄清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8"/>
          <w:sz w:val="24"/>
          <w:szCs w:val="24"/>
        </w:rPr>
        <w:t>.1 供应商在获得磋商文件后，若对磋商文件有任何疑问，应在前附表规定的时间以书面形式向采购单位提出澄清要求，发电子邮件至shzbqdb@163.com，并电话通知。超出时限提出的疑问，概不回答。</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8．磋商文件的修改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8.1 磋商文件发出后，在规定时限内，采购单位可对磋商文件进行必要的澄清和修改。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8.2磋商文件的修改将以书面及邮件的形式发送给所有的供应商，供应商应于收到该修改文件后1个工作日内以书面形式给予确认，逾期不确认视为认同。磋商文件的修改内容作为磋商文件的组成部分，具有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8.3 磋商文件的澄清、修改、补充等内容均以书面形式明确的内容为准。当磋商文件、磋商文件的澄清、修改、补充等在同一内容的表述上不一致时，以最后发出的文件为准。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8.4 为使供应商在编制响应文件时有充分的时间对磋商文件的澄清、修改、补充等内容进行研究，采购单位可以酌情延长提交文件的截止日期，具体时间将在磋商文件修改、补充通知中予以明确。</w:t>
      </w:r>
    </w:p>
    <w:p>
      <w:pPr>
        <w:pStyle w:val="4"/>
        <w:spacing w:before="0" w:after="0" w:line="360" w:lineRule="auto"/>
        <w:rPr>
          <w:rFonts w:ascii="仿宋" w:hAnsi="仿宋" w:eastAsia="仿宋" w:cs="仿宋"/>
          <w:sz w:val="24"/>
          <w:szCs w:val="24"/>
        </w:rPr>
      </w:pPr>
      <w:bookmarkStart w:id="15" w:name="_Toc23330"/>
      <w:bookmarkStart w:id="16" w:name="_Toc535048501"/>
      <w:bookmarkStart w:id="17" w:name="_Toc20306"/>
      <w:r>
        <w:rPr>
          <w:rFonts w:hint="eastAsia" w:ascii="仿宋" w:hAnsi="仿宋" w:eastAsia="仿宋" w:cs="仿宋"/>
          <w:sz w:val="24"/>
          <w:szCs w:val="24"/>
        </w:rPr>
        <w:t>（三） 响应文件的编制</w:t>
      </w:r>
      <w:bookmarkEnd w:id="15"/>
      <w:bookmarkEnd w:id="16"/>
      <w:bookmarkEnd w:id="17"/>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9．响应文件的语言及度量衡单位</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9.1响应文件和与采购有关的所有往来通知、函件均应使用中文。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9.2除工程技术规范另有规定外，响应文件使用的度量衡单位，均采用中华人民共和国法定计量单位。</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10．响应文件的组成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10.1响应文件由响应函、报价一览表、资格审查部分、商务部分、技术部分组成；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第一部分  响应函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1、响应函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2、法人参与响应的提供法定代表人证明及身份证复印件；授权代理人参与响应的提供法定代表人授权委托书、法定代表人身份证复印件、授权代理人的身份证明复印件；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3、报价一览表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4、磋商文件要求供应商提交的其他资料。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第二部分  资格审查部分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1、响应磋商文件要求的相关证明材料。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2、供应商对提供的以上资料的真实性负责，评审过程中磋商小组若对以上供应商提供的资料若发现有不实之处，按无效响应处理。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第三部分  商务部分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1、报价汇总表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2、工程量清单报价表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2.1.响应报价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2.2.工程项目总价表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第四部分  技术部分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1、施工组织设计或施工方案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（1）综合说明，质量、服务、安全文明施工目标；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（2）主要施工方法；新技术、新材料、新工艺、新设备的应用；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（3）工程投入的主要物资和施工机械设备情况、主要施工机械进场计划；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（4）劳动力安排计划；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（5）确保工程质量的技术组织措施；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（6）确保安全生产的技术组织措施；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（7）确保文明施工的技术组织措施；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（8）施工顺序、总进度安排及总形象进度示意图。</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2、项目管理机构配备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（1）项目经理或建造师简历表；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（2）项目管理班子配备情况及其它辅助说明资料、施工力量部署。</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供应商应接上述规定制作响应文件，并按磋商文件给定的相关格式进行编制（给定格式可以根据需要进行调整）；没有的格式可以自行设计。</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11．响应文件格式</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11</w:t>
      </w:r>
      <w:r>
        <w:rPr>
          <w:rFonts w:hint="eastAsia" w:ascii="仿宋" w:hAnsi="仿宋" w:eastAsia="仿宋" w:cs="仿宋"/>
          <w:spacing w:val="-8"/>
          <w:sz w:val="24"/>
          <w:szCs w:val="24"/>
        </w:rPr>
        <w:t>.1 响应文件包括本须知第10条中规定的内容，供应商提交的响应文件应当使用磋商文件所提供的响应文件全部格式（表格可以按同样格式扩展）。</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12．响应报价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12.1本工程为固定综合单价合同,响应报总价。供应商所报的综合单价应为完成一个规定计量单位的分部分项工程量清单项目或措施清单项目所需的人工费、材料费、施工机械使用费和企业管理费与利润，以及一定范围内的风险费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供应商应根据磋商文件、工程量清单、市场价格信息及有关规定，结合本工程特点、采购单位的相关要求及自身技术和管理水平、经营状况以及制定的施工方案，进行报价。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工程价款调整：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由于施工图设计变更、采购单位提供的工程量清单有误或项目特征表述与设计不符、以及其他非承包人原因导致的工程量清单项目、工程量发生变化所影响的工程价款，应按下列方法执行：</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（1）增加的工程量清单项目，其综合单价按照合同相关专用条款确定；</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（2）采购单位采购时提供的工程量有误或因非承包人原因引起的工程量变化，其工程量按实调整，但原有的综合单价不作调整。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12.2其他要求：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12.2.1工程所需临时水、电、道路及施工期间交通组织及周边关系协调等问题均由承包人自行解决，所需费用自行承担。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12.2.2施工过程中应确保沿线道路随时畅通，及时清理路面，保护没线设施，因施工造成的公共设施、构筑物，各类管线、缆等财产损失，由承包人负责；</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12.2.3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12.2.4报价要求：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报价依据：</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（1）《建设工程工程量清单计价规范》（GB50500-2013）；</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（2）《山东省建设工程工程量清单计价规则》（2011）；</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（4）磋商文件、采购控制价及其补充通知、答疑纪要；</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（5）建设工程相关文件及相关资料；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 xml:space="preserve">（6）施工现场情况、工程特点及拟定的响应施工组织设计或施工方案； </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（7）与建设项目相关的标准、规范等技术资料；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（8）市场价、工程造价管理机构发布的工程造价信息等；</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（9）其他相关资料。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12.2.5工程量清单报价格式中列明的所有需要填报的单价和合价，供应商均应填报，未填报的单价和合价，视为此项费用已包含在工程量清单的其他单价和合价中。</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12.2.6磋商文件中所提供的工程量清单，供应商未经采购单位同意不得更改。否则，采购单位有权拒绝其响应文件。供应商编制响应报价书时，必须严格按照采购控制价编制使用的表格及其内容。否则，采购单位有权拒绝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12.2.7</w:t>
      </w:r>
      <w:r>
        <w:rPr>
          <w:rFonts w:hint="eastAsia" w:ascii="仿宋" w:hAnsi="仿宋" w:eastAsia="仿宋" w:cs="仿宋"/>
          <w:sz w:val="24"/>
          <w:szCs w:val="24"/>
          <w:lang w:val="zh-CN"/>
        </w:rPr>
        <w:t>供应商认为需要提交的其他相关证明文件。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13.响应货币</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13</w:t>
      </w:r>
      <w:r>
        <w:rPr>
          <w:rFonts w:hint="eastAsia" w:ascii="仿宋" w:hAnsi="仿宋" w:eastAsia="仿宋" w:cs="仿宋"/>
          <w:spacing w:val="-8"/>
          <w:sz w:val="24"/>
          <w:szCs w:val="24"/>
        </w:rPr>
        <w:t>.1本工程采购报价采用的币种为人民币。</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14．响应有效期</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14.1响应有效期见本须知前附表所规定的期限，在此期限内，凡符合本磋商文件要求的响应文件均保持有效。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14.2在特殊情况下，采购单位在原定响应有效期内，可以根据需要以书面形式向供应商提出延长响应有效期的要求，对此要求供应商须以书面形式予以答复。供应商可以拒绝采购单位这种要求，而不被没收保证金。同意延长响应有效期的供应商既不能要求也不允许修改其响应文件，但需要相应的延长保证金的有效期，在延长的响应有效期内，本须知第15条关于保证金的退还与没收的规定仍然适用。</w:t>
      </w:r>
    </w:p>
    <w:p>
      <w:pPr>
        <w:overflowPunct w:val="0"/>
        <w:autoSpaceDE w:val="0"/>
        <w:snapToGrid w:val="0"/>
        <w:spacing w:line="360" w:lineRule="auto"/>
        <w:rPr>
          <w:rFonts w:hint="eastAsia" w:ascii="仿宋" w:hAnsi="仿宋" w:eastAsia="仿宋" w:cs="仿宋"/>
          <w:lang w:eastAsia="zh-CN"/>
        </w:rPr>
      </w:pPr>
      <w:r>
        <w:rPr>
          <w:rFonts w:hint="eastAsia" w:ascii="仿宋" w:hAnsi="仿宋" w:eastAsia="仿宋" w:cs="仿宋"/>
          <w:b/>
          <w:spacing w:val="-8"/>
          <w:sz w:val="24"/>
          <w:szCs w:val="24"/>
        </w:rPr>
        <w:t>15．保证金</w:t>
      </w:r>
      <w:r>
        <w:rPr>
          <w:rFonts w:hint="eastAsia" w:ascii="仿宋" w:hAnsi="仿宋" w:eastAsia="仿宋" w:cs="仿宋"/>
          <w:b/>
          <w:spacing w:val="-8"/>
          <w:sz w:val="24"/>
          <w:szCs w:val="24"/>
          <w:lang w:eastAsia="zh-CN"/>
        </w:rPr>
        <w:t>（本项目不收取保证金）</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15.1供应商应在提交响应文件的同时，按本须知前附表规定提交保证金，并作为其响应文件的一部分。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15.2对于未能按要求提交保证金的供应商，采购单位将视为符合性审查不通过而予以无效响应。</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 如供应商发生下列情况之一时，保证金将被没收：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15.3.1 供应商在开标后至响应有效期满前撤回其响应文件；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15.3.2 成交后未能在规定期限内提交履约保证金或签订合同协议。</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16．供应商的替代方案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16</w:t>
      </w:r>
      <w:r>
        <w:rPr>
          <w:rFonts w:hint="eastAsia" w:ascii="仿宋" w:hAnsi="仿宋" w:eastAsia="仿宋" w:cs="仿宋"/>
          <w:spacing w:val="-8"/>
          <w:sz w:val="24"/>
          <w:szCs w:val="24"/>
        </w:rPr>
        <w:t>.1本次采购不接受替代方案。</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17．响应文件的份数和签署</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17.1 供应商应按本须知前附表规定的份数提交响应文件。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17.2 响应文件封面、密封条骑缝处及响应函均应加盖供应商印章并经法定代表人或其委托代理人签字或盖章。由委托代理人签字或盖章的响应文件中须同时提交响应文件签署授权委托书，否则响应文件签署无效。</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17.3 除供应商对错误处须修改外，全套响应文件应无涂改或行间插字和增删。如有修改，修改处应由供应商加盖供应商的印章或由授权代表签字或盖章。</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18．质疑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18.1参加本次采购活动的供应商认为磋商文件、采购过程和成交结果使自己的权益受到损害的，可以在知道或者应知道其权益受到损害之日起7个工作日内，以书面形式一次性向采购人或者采购代理机构提出质疑。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18.2质疑书内容应包括以下主要内容：</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18.2.1供应商的姓名或者名称、地址、邮编、联系人及联系电话；</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18.2.2质疑项目的名称、编号；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18.2.3具体、明确的质疑事项和与质疑事项相关的请求；</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18.2.4事实依据；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18.2.5必要的法律依据；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18.2.6提出质疑的日期。</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18.3供应商为自然人的，应当由本人签字；供应商为法人或者其他组织的，应当由法定代表人、主要负责人，或者其授权代表签字或者盖章，并加盖公章。否则采购人或者采购代理机构不予受理。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18.4除书面形式外，其他任何方式的质疑，采购人或者采购代理机构均不予接受和回复。</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18.5采购人或者采购代理机构在收到质疑书后7个工作日内做出书面答复，并以书面形式通知质疑人和其他有关供应商，但答复不得涉及商业秘密。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18.6质疑人对采购人、采购代理机构的答复不满意或者采购人、采购代理机构未在规定的时间内做出答复的，可以在答复期满后15个工作日内向同级监管部门投诉。</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18.7参加本次采购活动的供应商认为磋商文件、磋商过程和成交结果使自己的权益受到损害的，可以在知道或者应知道其权益受到损害之日起7个工作日内，以书面形式向采购人或者采购代理机构一次性提出质疑。</w:t>
      </w:r>
    </w:p>
    <w:p>
      <w:pPr>
        <w:pStyle w:val="2"/>
        <w:spacing w:line="360" w:lineRule="auto"/>
        <w:ind w:firstLine="480" w:firstLineChars="200"/>
        <w:rPr>
          <w:rFonts w:ascii="仿宋" w:hAnsi="仿宋" w:eastAsia="仿宋" w:cs="仿宋"/>
          <w:sz w:val="24"/>
          <w:szCs w:val="24"/>
        </w:rPr>
      </w:pPr>
      <w:bookmarkStart w:id="18" w:name="_Toc469327377"/>
      <w:r>
        <w:rPr>
          <w:rFonts w:hint="eastAsia" w:ascii="仿宋" w:hAnsi="仿宋" w:eastAsia="仿宋" w:cs="仿宋"/>
          <w:sz w:val="24"/>
          <w:szCs w:val="24"/>
        </w:rPr>
        <w:t>18.8质疑联系方式详见第一章项目负责人联系方式。</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19.投诉</w:t>
      </w:r>
      <w:bookmarkEnd w:id="18"/>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19.1按照相关的法律、法规及规定，质疑人对采购人、采购代理机构的答复不满意或者采购人、采购代理机构未在规定的时间内做出答复的，可以在答复期满后15个工作日内向同级监管部门投诉。</w:t>
      </w:r>
    </w:p>
    <w:p>
      <w:pPr>
        <w:pStyle w:val="4"/>
        <w:spacing w:before="0" w:after="0" w:line="360" w:lineRule="auto"/>
        <w:rPr>
          <w:rFonts w:ascii="仿宋" w:hAnsi="仿宋" w:eastAsia="仿宋" w:cs="仿宋"/>
          <w:sz w:val="24"/>
          <w:szCs w:val="24"/>
        </w:rPr>
      </w:pPr>
      <w:bookmarkStart w:id="19" w:name="_Toc710"/>
      <w:bookmarkStart w:id="20" w:name="_Toc535048502"/>
      <w:bookmarkStart w:id="21" w:name="_Toc509"/>
      <w:r>
        <w:rPr>
          <w:rFonts w:hint="eastAsia" w:ascii="仿宋" w:hAnsi="仿宋" w:eastAsia="仿宋" w:cs="仿宋"/>
          <w:sz w:val="24"/>
          <w:szCs w:val="24"/>
        </w:rPr>
        <w:t>（四）响应文件的提交</w:t>
      </w:r>
      <w:bookmarkEnd w:id="19"/>
      <w:bookmarkEnd w:id="20"/>
      <w:bookmarkEnd w:id="21"/>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20．响应文件的装订、密封和标记</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20.1响应文件的装订要求：响应文件的正本和副本均需采用A4纸张打印，采用WORD或EXCEL文本，字迹应清晰易于辨认，于左侧按目录顺序装订成册，并在每页上注明页码。应在响应文件封面的右上角清楚注明“正本”、“副本”和“包号”。正本和副本如有不一致之处，以正本为准。报价一览表单独密封一份，当报价一览表与正本不一致时，以报价一览表为准，并加盖单位公章和法定代表人（或代理人）印鉴。由委托代理人签字或盖章的响应文件中须同时提交响应文件签署授权委托书。</w:t>
      </w:r>
    </w:p>
    <w:p>
      <w:pPr>
        <w:overflowPunct w:val="0"/>
        <w:autoSpaceDE w:val="0"/>
        <w:snapToGrid w:val="0"/>
        <w:spacing w:line="360" w:lineRule="auto"/>
        <w:ind w:firstLine="480"/>
        <w:rPr>
          <w:rFonts w:ascii="仿宋" w:hAnsi="仿宋" w:eastAsia="仿宋" w:cs="仿宋"/>
          <w:b/>
        </w:rPr>
      </w:pPr>
      <w:r>
        <w:rPr>
          <w:rFonts w:hint="eastAsia" w:ascii="仿宋" w:hAnsi="仿宋" w:eastAsia="仿宋" w:cs="仿宋"/>
          <w:b/>
          <w:sz w:val="24"/>
          <w:szCs w:val="24"/>
        </w:rPr>
        <w:t>20.2 供应商所提交的响应文件必须胶装，否则为无效响应。</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供应商应将响应文件的正本和副本分别密封；报价一览表单独密封一份，资质证明文件（与评审有关的资料一起密封在内）单独密封一份；响应文件电子版单独密封一份。</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 在响应文件密封袋上应注明：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20.3.1 项目名称、项目编号、包号；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20.3.2 供应商名称、地址、联系人、联系电话；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20.3.3 “开标时才能启封”字样。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20.4 供应商应按磋商文件附件的密封件封面格式密封响应文件及相关资料，以便本须知第23条规定情况发生时，采购单位可按封袋上标明的供应商地址将响应文件原封退回。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20.5 如果响应文件没有按本须知第20.1款、第20.2款和第0.3款规定装订和加写标记及密封，采购单位将不承担响应文件提前开封的责任。对由此造成的提前开封的响应文件将予以拒绝，并退还给供应商。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20.6 所有响应文件的外层密封袋的封口处应加盖供应商公章、法定代表人印鉴（或授权代表签字）。</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20.7报价一览表单独密封在一个信封内，与响应文件同时递交。在信封密封骑缝处加盖供应商公章、法定代表人或法定代表人授权委托人印章，并在封面上注明：“报价一览表”、项目名称、项目编号、包号、供应商名称、供应商地址及联系方式、 “开标时才能启封”字样。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20.8 电子文档可以是WORD或EXCEL格式，也按上述要求单独密封和标志。</w:t>
      </w:r>
    </w:p>
    <w:p>
      <w:pPr>
        <w:overflowPunct w:val="0"/>
        <w:autoSpaceDE w:val="0"/>
        <w:snapToGrid w:val="0"/>
        <w:spacing w:line="360" w:lineRule="auto"/>
        <w:ind w:firstLine="480"/>
        <w:rPr>
          <w:rFonts w:ascii="仿宋" w:hAnsi="仿宋" w:eastAsia="仿宋" w:cs="仿宋"/>
          <w:b/>
        </w:rPr>
      </w:pPr>
      <w:r>
        <w:rPr>
          <w:rFonts w:hint="eastAsia" w:ascii="仿宋" w:hAnsi="仿宋" w:eastAsia="仿宋" w:cs="仿宋"/>
          <w:sz w:val="24"/>
          <w:szCs w:val="24"/>
        </w:rPr>
        <w:t>20.9资质证明文件及相关材料也按上述要求单独密封和标志。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21．响应文件的提交</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21.</w:t>
      </w:r>
      <w:r>
        <w:rPr>
          <w:rFonts w:hint="eastAsia" w:ascii="仿宋" w:hAnsi="仿宋" w:eastAsia="仿宋" w:cs="仿宋"/>
          <w:spacing w:val="-8"/>
          <w:sz w:val="24"/>
          <w:szCs w:val="24"/>
        </w:rPr>
        <w:t>1供应商应按本须知前附表所规定的地点，于截止时间前提交响应文件。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22．响应文件提交的截止时间</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22.1响应文件提交的截止时间见本须知前附表规定。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22.2采购单位可按本须知第8条规定以修改补充通知的方式，酌情延长提交响应文件的截止时间。在此情况下，供应商的所有权利和义务以及供应商受制约的截止时间，均以延长后新的响应截止时间为准。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23．迟交的响应文件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23</w:t>
      </w:r>
      <w:r>
        <w:rPr>
          <w:rFonts w:hint="eastAsia" w:ascii="仿宋" w:hAnsi="仿宋" w:eastAsia="仿宋" w:cs="仿宋"/>
          <w:spacing w:val="-8"/>
          <w:sz w:val="24"/>
          <w:szCs w:val="24"/>
        </w:rPr>
        <w:t>.1在本须知第20条规定的响应截止时间以后递交的响应文件，将被拒绝并退回给供应商。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24．响应文件的补充、修改与撤回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24.1供应商在提交响应文件以后，在规定的响应截止时间之前，可以以书面形式补充修改或撤回已提交的响应文件，并以书面形式通知采购单位。补充、修改的内容为响应文件的组成部分。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24.2供应商对响应文件的补充、修改，应按本须知第20条有关规定密封、标记和提交，并在内外层响应文件密封袋上清楚标明“补充、修改”或“撤回”字样。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24.3采购撤回通知书也可采用邮件的方式，只要采购单位在响应截止日期前收到此邮件，但此邮件应满足下列条件：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（1）邮件上应有供应商名称、地址、电话并有供应商公章；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（2）具有本须知第20.3款所要求的标注；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（3）非常清楚地标明“撤回”字样；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（4）有授权代表的签字或随后有经签署的确认文本。</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24.4在响应截止时间之后，供应商不得补充、修改响应文件。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24.5在响应截止日期至供应商在响应函中规定的响应有效期满之前的这段时间内，供应商不得撤回其响应文件。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25．资格后审（详见开标会部分）</w:t>
      </w:r>
    </w:p>
    <w:p>
      <w:pPr>
        <w:widowControl/>
        <w:suppressAutoHyphens w:val="0"/>
        <w:jc w:val="left"/>
        <w:rPr>
          <w:rFonts w:ascii="仿宋" w:hAnsi="仿宋" w:eastAsia="仿宋" w:cs="仿宋"/>
          <w:b/>
          <w:bCs/>
          <w:sz w:val="24"/>
          <w:szCs w:val="24"/>
        </w:rPr>
      </w:pPr>
      <w:bookmarkStart w:id="22" w:name="_Toc535048503"/>
      <w:bookmarkStart w:id="23" w:name="_Toc24278"/>
      <w:bookmarkStart w:id="24" w:name="_Toc24049"/>
      <w:r>
        <w:rPr>
          <w:rFonts w:ascii="仿宋" w:hAnsi="仿宋" w:eastAsia="仿宋" w:cs="仿宋"/>
          <w:sz w:val="24"/>
          <w:szCs w:val="24"/>
        </w:rPr>
        <w:br w:type="page"/>
      </w:r>
    </w:p>
    <w:p>
      <w:pPr>
        <w:pStyle w:val="4"/>
        <w:spacing w:before="0" w:after="0" w:line="360" w:lineRule="auto"/>
        <w:rPr>
          <w:rFonts w:ascii="仿宋" w:hAnsi="仿宋" w:eastAsia="仿宋" w:cs="仿宋"/>
          <w:sz w:val="24"/>
          <w:szCs w:val="24"/>
        </w:rPr>
      </w:pPr>
      <w:r>
        <w:rPr>
          <w:rFonts w:hint="eastAsia" w:ascii="仿宋" w:hAnsi="仿宋" w:eastAsia="仿宋" w:cs="仿宋"/>
          <w:sz w:val="24"/>
          <w:szCs w:val="24"/>
        </w:rPr>
        <w:t>（五）开标会</w:t>
      </w:r>
      <w:bookmarkEnd w:id="22"/>
      <w:bookmarkEnd w:id="23"/>
      <w:bookmarkEnd w:id="24"/>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26．开标会程序</w:t>
      </w:r>
    </w:p>
    <w:p>
      <w:pPr>
        <w:overflowPunct w:val="0"/>
        <w:autoSpaceDE w:val="0"/>
        <w:snapToGrid w:val="0"/>
        <w:spacing w:line="360" w:lineRule="auto"/>
        <w:ind w:firstLine="480"/>
        <w:rPr>
          <w:rFonts w:ascii="仿宋" w:hAnsi="仿宋" w:eastAsia="仿宋" w:cs="仿宋"/>
          <w:b/>
          <w:sz w:val="24"/>
          <w:szCs w:val="24"/>
        </w:rPr>
      </w:pPr>
      <w:r>
        <w:rPr>
          <w:rFonts w:hint="eastAsia" w:ascii="仿宋" w:hAnsi="仿宋" w:eastAsia="仿宋" w:cs="仿宋"/>
          <w:b/>
          <w:sz w:val="24"/>
          <w:szCs w:val="24"/>
        </w:rPr>
        <w:t>26.1采购单位按本须知前附表所规定的时间和地点公开举行开标会议，因疫情原因，本项目供应商的法定代表人或授权代表可不需出席开标会议。</w:t>
      </w:r>
    </w:p>
    <w:p>
      <w:pPr>
        <w:spacing w:line="360" w:lineRule="auto"/>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26.1.1特别注意事项：</w:t>
      </w:r>
    </w:p>
    <w:p>
      <w:pPr>
        <w:spacing w:line="360" w:lineRule="auto"/>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26.1.1.1供应商授权代表随时必须保持通讯畅通，并关注报名登记的公司邮箱。评审过程中可能出现的需要供应商澄清、答疑、磋商、再次报价等环节，我公司将以电话及邮件形式通知各供应商。</w:t>
      </w:r>
    </w:p>
    <w:p>
      <w:pPr>
        <w:pStyle w:val="2"/>
        <w:spacing w:line="360" w:lineRule="auto"/>
        <w:ind w:firstLine="472" w:firstLineChars="196"/>
        <w:rPr>
          <w:b/>
        </w:rPr>
      </w:pPr>
      <w:r>
        <w:rPr>
          <w:rFonts w:hint="eastAsia" w:ascii="仿宋" w:hAnsi="仿宋" w:eastAsia="仿宋" w:cs="仿宋"/>
          <w:b/>
          <w:sz w:val="24"/>
          <w:szCs w:val="24"/>
          <w:lang w:val="zh-CN"/>
        </w:rPr>
        <w:t>26.1.1.2评审过程需要供应商进行澄清、答疑、磋商、再次报价等内容，供应商应通过邮件形式在规定时间内发送到代理机构邮箱，发送的内容须经过供应商授权代表人签字，并加盖公章的扫描件或者照片。</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26.2 按规定提交合格的撤回通知的响应文件不予开封，并退回给供应商；在响应截止时间之后递交的响应文件，将不予接收，原封退还给供应商。按本须知第25条规定确定为无效的响应文件，不予送交评审。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 开标会议程序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26.3.1 开标会议由采购代理单位主持，按照开标会程序进行。</w:t>
      </w:r>
    </w:p>
    <w:p>
      <w:pPr>
        <w:overflowPunct w:val="0"/>
        <w:autoSpaceDE w:val="0"/>
        <w:snapToGrid w:val="0"/>
        <w:spacing w:line="360" w:lineRule="auto"/>
        <w:ind w:firstLine="480"/>
        <w:rPr>
          <w:rFonts w:ascii="仿宋" w:hAnsi="仿宋" w:eastAsia="仿宋" w:cs="仿宋"/>
          <w:b/>
        </w:rPr>
      </w:pPr>
      <w:r>
        <w:rPr>
          <w:rFonts w:hint="eastAsia" w:ascii="仿宋" w:hAnsi="仿宋" w:eastAsia="仿宋" w:cs="仿宋"/>
          <w:b/>
          <w:sz w:val="24"/>
          <w:szCs w:val="24"/>
        </w:rPr>
        <w:t>26.3.2 报价：响应文件经检查无误后当众拆封，由主持人统一宣读报价一览表，其内容要与响应文件一致，否则以报价一览表为准。报价完毕后如无误，各供应商授权代表对报价内容通过邮件方式确认。</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26.3.3在磋商文件要求提交响应文件的截止时间前收到的响应文件，开标会议上都应当众予以拆封、宣读报价一览表。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26.3.4采购代理单位对开标会议过程进行记录，并存档备查。</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26.3.5 响应文件有下列情形之一的。采购单位不予受理：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1）逾期送达的或者未送达指定地点的；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2）未按本须知第20条的要求装订、密封和标记的。</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27．响应文件的有效性</w:t>
      </w:r>
    </w:p>
    <w:p>
      <w:pPr>
        <w:overflowPunct w:val="0"/>
        <w:autoSpaceDE w:val="0"/>
        <w:snapToGrid w:val="0"/>
        <w:spacing w:line="360" w:lineRule="auto"/>
        <w:ind w:firstLine="480"/>
        <w:rPr>
          <w:rFonts w:ascii="仿宋" w:hAnsi="仿宋" w:eastAsia="仿宋" w:cs="仿宋"/>
        </w:rPr>
      </w:pPr>
      <w:bookmarkStart w:id="25" w:name="_Toc535048504"/>
      <w:bookmarkStart w:id="26" w:name="_Toc32386"/>
      <w:bookmarkStart w:id="27" w:name="_Toc12363"/>
      <w:r>
        <w:rPr>
          <w:rFonts w:hint="eastAsia" w:ascii="仿宋" w:hAnsi="仿宋" w:eastAsia="仿宋" w:cs="仿宋"/>
          <w:sz w:val="24"/>
          <w:szCs w:val="24"/>
        </w:rPr>
        <w:t>27.1.1</w:t>
      </w:r>
      <w:r>
        <w:rPr>
          <w:rFonts w:hint="eastAsia" w:ascii="仿宋" w:hAnsi="仿宋" w:eastAsia="仿宋" w:cs="仿宋"/>
          <w:spacing w:val="-8"/>
          <w:sz w:val="24"/>
          <w:szCs w:val="24"/>
        </w:rPr>
        <w:t>不具备响应须知前附表供应商资格要求条件；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w:t>
      </w:r>
      <w:r>
        <w:rPr>
          <w:rFonts w:hint="eastAsia" w:ascii="仿宋" w:hAnsi="仿宋" w:eastAsia="仿宋" w:cs="仿宋"/>
          <w:spacing w:val="-8"/>
          <w:sz w:val="24"/>
          <w:szCs w:val="24"/>
        </w:rPr>
        <w:t>响应文件未按磋商文件规定要求制作、密封、签署、盖章；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27.1.3</w:t>
      </w:r>
      <w:r>
        <w:rPr>
          <w:rFonts w:hint="eastAsia" w:ascii="仿宋" w:hAnsi="仿宋" w:eastAsia="仿宋" w:cs="仿宋"/>
          <w:spacing w:val="-8"/>
          <w:sz w:val="24"/>
          <w:szCs w:val="24"/>
        </w:rPr>
        <w:t>拒绝报价、报价不确定、超出预算控制价或者有多个报价；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27.1.4</w:t>
      </w:r>
      <w:r>
        <w:rPr>
          <w:rFonts w:hint="eastAsia" w:ascii="仿宋" w:hAnsi="仿宋" w:eastAsia="仿宋" w:cs="仿宋"/>
          <w:spacing w:val="-8"/>
          <w:sz w:val="24"/>
          <w:szCs w:val="24"/>
        </w:rPr>
        <w:t>不符合磋商文件中规定资格条件；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27.1.5</w:t>
      </w:r>
      <w:r>
        <w:rPr>
          <w:rFonts w:hint="eastAsia" w:ascii="仿宋" w:hAnsi="仿宋" w:eastAsia="仿宋" w:cs="仿宋"/>
          <w:spacing w:val="-8"/>
          <w:sz w:val="24"/>
          <w:szCs w:val="24"/>
        </w:rPr>
        <w:t xml:space="preserve">超出经营范围报价； </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27.1.6响应文件正副本未区分或者内容严重不一致；</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27.1.7响应有效期不满足磋商文件要求；</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27.1.8联合体未提交联合体协议书；</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27.1.9响应文件未完全满足磋商文件中带“★”号的条款或指标，或超过磋商文件规定的允许出现负偏差的最大范围、幅度和最高项数；</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27.1.10对磋商文件要求的技术参数整体复制粘贴经磋商小组认定与所报服务不符；</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27.1.11低于成本价且无法提供相关证明材料；</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27.1.12磋商小组认定施工方案不符合磋商文件要求；</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27.1.13评审期间，没有按磋商小组要求提交经法定代表人或授权代表签字的澄清、说明、补正或改变了响应文件实质性内容；</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27.1.14供应商未提交最终报价；</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27.1.15供应商存在弄虚作假的行为；</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27.1.16属于采购人与供应商、供应商与供应商相互串通响应情形；</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27.1.17对采购人、采购代理机构、磋商小组及其他工作人员施加影响，有碍公平、公正；</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27.1.18磋商文件规定的其他报价无效情形；</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27.1.19法律、法规、规章规定属于报价无效的其他情形。</w:t>
      </w:r>
    </w:p>
    <w:p>
      <w:pPr>
        <w:overflowPunct w:val="0"/>
        <w:autoSpaceDE w:val="0"/>
        <w:snapToGrid w:val="0"/>
        <w:spacing w:line="360" w:lineRule="auto"/>
        <w:ind w:firstLine="448"/>
        <w:rPr>
          <w:rFonts w:ascii="仿宋" w:hAnsi="仿宋" w:eastAsia="仿宋" w:cs="仿宋"/>
          <w:spacing w:val="-8"/>
          <w:sz w:val="24"/>
          <w:szCs w:val="24"/>
        </w:rPr>
      </w:pPr>
      <w:r>
        <w:rPr>
          <w:rFonts w:hint="eastAsia" w:ascii="仿宋" w:hAnsi="仿宋" w:eastAsia="仿宋" w:cs="仿宋"/>
          <w:spacing w:val="-8"/>
          <w:sz w:val="24"/>
          <w:szCs w:val="24"/>
        </w:rPr>
        <w:t>对报价无效的认定，必须经磋商小组集体作出决定并出具报价无效的事实依据，由供应商法定代表人或其授权代表签字确认，拒绝签字的，不影响磋商小组作出的决定。</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27.2将有效响应文件，送磋商小组进行评审、比较。</w:t>
      </w:r>
    </w:p>
    <w:p>
      <w:pPr>
        <w:pStyle w:val="4"/>
        <w:spacing w:before="0" w:after="0" w:line="360" w:lineRule="auto"/>
        <w:rPr>
          <w:rFonts w:ascii="仿宋" w:hAnsi="仿宋" w:eastAsia="仿宋" w:cs="仿宋"/>
          <w:sz w:val="24"/>
          <w:szCs w:val="24"/>
        </w:rPr>
      </w:pPr>
      <w:r>
        <w:rPr>
          <w:rFonts w:hint="eastAsia" w:ascii="仿宋" w:hAnsi="仿宋" w:eastAsia="仿宋" w:cs="仿宋"/>
          <w:sz w:val="24"/>
          <w:szCs w:val="24"/>
        </w:rPr>
        <w:t>（六）评审</w:t>
      </w:r>
      <w:bookmarkEnd w:id="25"/>
      <w:bookmarkEnd w:id="26"/>
      <w:bookmarkEnd w:id="27"/>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28．磋商小组与评审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28.1 开标会议结束后进入评审程序，磋商小组由采购单位依法组建，负责评审活动。评审采用保密方式进行，并接受有关行政主管部门的监督。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28.2 磋商小组将依据相关法律规定由采购单位和有关专家组成。</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28.3磋商小组由采购人代表和评审专家共3人以上单数组成，其中评审专家人数不得少于磋商小组成员总数的2/3。</w:t>
      </w:r>
      <w:r>
        <w:rPr>
          <w:rFonts w:hint="eastAsia" w:ascii="仿宋" w:hAnsi="仿宋" w:eastAsia="仿宋" w:cs="仿宋"/>
          <w:sz w:val="24"/>
          <w:szCs w:val="24"/>
        </w:rPr>
        <w:br w:type="textWrapping"/>
      </w:r>
      <w:r>
        <w:rPr>
          <w:rFonts w:hint="eastAsia" w:ascii="仿宋" w:hAnsi="仿宋" w:eastAsia="仿宋" w:cs="仿宋"/>
          <w:b/>
          <w:spacing w:val="-8"/>
          <w:sz w:val="24"/>
          <w:szCs w:val="24"/>
        </w:rPr>
        <w:t>29．评审过程的保密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29.1开标后，直至授予成交人合同为止，凡属于对响应文件的审查、澄清、评价和比较有关的资料以及成交候选人的推荐情况，与评审有关的其他任何情况均严格保密。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29.2在响应文件的评审和比较、成交候选人推荐以及授予合同的过程中，供应商向采购单位和磋商小组施加影响的任何行为，都将会导致其响应被拒绝。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29.3成交人确定后，采购单位不对未成交的供应商就评审过程以及未成交原因作出任何解释。未成交人不得向磋商小组或其他有关人员索问评审过程的情况和材料。</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30．评审纪律及规定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30.1为了规范评审活动，保证评审的公平、公正，维护采购响应活动当事人的合法权益，依照有关法律、法规制定本规定。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30.2评审活动遵循公平、公正、科学、择优的原则依法进行，任何单位和个人不得非法干预或者影响评审过程和结果。</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30.3评审活动应在严格保密的情况下进行，只有依法组建的磋商小组的成员、监督人员、公证人员及经批准的采购单位或者其委托的采购代理单位的有关工作人员参加。其他任何人员不得随意进入评审地点。</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30.4在评审过程中，只有磋商小组的成员享有评审发言权，其他人员不得随意发表意见。</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30.5磋商小组成员应当客观、公正的履行职责，遵守职业道德，对所提出的评审意见承担个人责任。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30.6磋商小组应当根据磋商文件及相关答疑、补充通知规定的评审标准和方法，对响应文件进行系统评审和比较。磋商文件及相关答疑、补充通知中没有规定的标准和方法不得作为评审的依据。</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30.7磋商小组成员不得与任何供应商或者与采购结果有利害关系的人进行私下接触，不得接受供应商、中介人、其他利害关系人的财物或者其他好处。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30.8评审期间，评审人员不得单独出入评审地点、与外界通讯、会客等。</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30.9磋商小组成员和与评审活动有关的工作人员不得透露对响应文件的评审和比较、成交候选人的推荐情况以及与评审有关的其他情况。</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30.10评审结束后，各评标人员应将全部资料整理上交采购单位或者采购代理单位，严禁将评审过程中有关资料向供应商或者其他单位提供。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30.11磋商小组成员在评审过程中擅离职守，影响评审程序正常进行或者在评审过程中不能客观公正的履行职责的，给予警告；情节严重的，取消担任磋商小组的成员资格，不得继续参加依法必须进行采购项目的评审活动，并处一万元以下的罚款；构成犯罪的，报请有关部门依法追究刑事责任。</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31．响应文件的澄清</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31.1 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34条规定，凡属于磋商小组在评审中发现的计算错误并进行核实的修改不在此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 xml:space="preserve">32．响应文件的初步评审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32.1 开标会议后，经采购单位审查符合有关规定的响应文件，才能提交磋商小组进行评审。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32.2 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产生不公正的影响。</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32.3 如果响应文件实质上不响应磋商文件的各项要求，磋商小组将予以拒绝，并且不允许供应商通过修改或撤销其不符合要求的差异或保留，使之成为具有响应性的采购。</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33．响应文件错误的修正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 磋商小组将对确定为实质上响应磋商文件要求的响应文件进行校核，看其是否有计算、累计或表达上的错误，修正错误的原则如下：</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33.1.1 如果数字表示的金额和用文字表示的金额不一致时，应以文字表示的金额为准；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33.1.2 当单价与工程量的乘积与合价不一致时，以单价为准，除非磋商小组认为单价有明显的小数点错误，此时应以标出的合价为准，并修改单价。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33.2 按上述修正错误的原则及方法调整或修正响应文件的报价，供应商同意后，调整后的报价对供应商起约束作用。如果供应商不接受修正后的报价，则其响应将被拒绝，并且其保证金也将被没收，并不影响评审工作。</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34．响应文件的评审、比较和否决</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34.1 磋商小组将按照本须知第3l条规定，仅对在实质上响应磋商文件要求的响应文件进行评估和比较。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34.2 在评审过程中，磋商小组可以以书面形式要求供应商就响应文件中含义不明确的内容进行书面说明并提供相关材料。</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34.3 磋商小组依据本须知前附表规定的评审原则和办法，对响应文件进行评审和比较，向采购单位提出书面评审报告，并推荐排名第一的为成交人。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34.4 评审方法</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本工程采用综合评分法，以报价合理、确保服务和工程质量、施工方案切实可行等为评审定标的标准，以打分方式(满分100分)择优确定成交人。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具体评审办法及评分细则详见本磋商文件第五章。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34.5 磋商小组经评审，认为所有响应都不符合磋商文件要求的，可以否决所有响应。所有响应被否决后，采购单位将依法重新采购。</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34.6 根据磋商文件规定的工期和质量要求，能保证达到要求者为有效标书，达不到要求者可视为无效响应。</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34.7 对提供虚假事实骗取成交的供应商，采购单位将取消其成交资格，其保证金将被没收。</w:t>
      </w:r>
    </w:p>
    <w:p>
      <w:pPr>
        <w:pStyle w:val="4"/>
        <w:spacing w:before="0" w:after="0" w:line="360" w:lineRule="auto"/>
        <w:rPr>
          <w:rFonts w:ascii="仿宋" w:hAnsi="仿宋" w:eastAsia="仿宋" w:cs="仿宋"/>
          <w:sz w:val="24"/>
          <w:szCs w:val="24"/>
        </w:rPr>
      </w:pPr>
      <w:bookmarkStart w:id="28" w:name="_Toc535048505"/>
      <w:bookmarkStart w:id="29" w:name="_Toc15749"/>
      <w:bookmarkStart w:id="30" w:name="_Toc86"/>
      <w:r>
        <w:rPr>
          <w:rFonts w:hint="eastAsia" w:ascii="仿宋" w:hAnsi="仿宋" w:eastAsia="仿宋" w:cs="仿宋"/>
          <w:sz w:val="24"/>
          <w:szCs w:val="24"/>
        </w:rPr>
        <w:t>（七）定标</w:t>
      </w:r>
      <w:bookmarkEnd w:id="28"/>
      <w:bookmarkEnd w:id="29"/>
      <w:bookmarkEnd w:id="30"/>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z w:val="24"/>
          <w:szCs w:val="24"/>
        </w:rPr>
        <w:t>35</w:t>
      </w:r>
      <w:r>
        <w:rPr>
          <w:rFonts w:hint="eastAsia" w:ascii="仿宋" w:hAnsi="仿宋" w:eastAsia="仿宋" w:cs="仿宋"/>
          <w:spacing w:val="-8"/>
          <w:sz w:val="24"/>
          <w:szCs w:val="24"/>
        </w:rPr>
        <w:t>．</w:t>
      </w:r>
      <w:r>
        <w:rPr>
          <w:rFonts w:hint="eastAsia" w:ascii="仿宋" w:hAnsi="仿宋" w:eastAsia="仿宋" w:cs="仿宋"/>
          <w:sz w:val="24"/>
          <w:szCs w:val="24"/>
        </w:rPr>
        <w:t>根据磋商文件确定的评审办法，按综合评审结果进行排序，选取本项目的成交候选人或根据采购单位的授权直接确定成交人</w:t>
      </w:r>
      <w:r>
        <w:rPr>
          <w:rFonts w:hint="eastAsia" w:ascii="仿宋" w:hAnsi="仿宋" w:eastAsia="仿宋" w:cs="仿宋"/>
          <w:spacing w:val="-8"/>
          <w:sz w:val="24"/>
          <w:szCs w:val="24"/>
        </w:rPr>
        <w:t>。</w:t>
      </w:r>
    </w:p>
    <w:p>
      <w:pPr>
        <w:pStyle w:val="4"/>
        <w:spacing w:before="0" w:after="0" w:line="360" w:lineRule="auto"/>
        <w:rPr>
          <w:rFonts w:ascii="仿宋" w:hAnsi="仿宋" w:eastAsia="仿宋" w:cs="仿宋"/>
          <w:sz w:val="24"/>
          <w:szCs w:val="24"/>
        </w:rPr>
      </w:pPr>
      <w:bookmarkStart w:id="31" w:name="_Toc9304"/>
      <w:bookmarkStart w:id="32" w:name="_Toc535048506"/>
      <w:bookmarkStart w:id="33" w:name="_Toc8922"/>
      <w:r>
        <w:rPr>
          <w:rFonts w:hint="eastAsia" w:ascii="仿宋" w:hAnsi="仿宋" w:eastAsia="仿宋" w:cs="仿宋"/>
          <w:sz w:val="24"/>
          <w:szCs w:val="24"/>
        </w:rPr>
        <w:t>（八）合同的授予</w:t>
      </w:r>
      <w:bookmarkEnd w:id="31"/>
      <w:bookmarkEnd w:id="32"/>
      <w:bookmarkEnd w:id="33"/>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36．合同授予标准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36.1 合同将授予符合以下条件的供应商：响应文件已被确认，实质上符合磋商文件的要求，具备履行合同的能力，且得分排名第一，已按要求缴纳履约保证金。</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 xml:space="preserve">36.2 采购单位与成交人将于发出成交通知书后30日内，按照磋商文件和成交人的响应文件签订施工合同。采购单位和成交人不得再行订立背离合同实质性内容的其他协议。如因成交人原因造成不能按时签订施工合同的，采购单位有权将合同授予本包号排名第二的成交候选人。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36.3 成交人如不按规定或者不在规定的期限内与采购单位签订合同，则采购单位将有充分的理由废除授标，并没收其保证金，给采购单位造成的损失超过保证金数额的，成交人还应当就超过部分予以赔偿，同时依法承担相应的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36.4成交人应当按照合同约定的履约责任，在保证质量的前提下完成成交项目施工，不得将成交项目转包或分包给他人，否则视为违约，采购单位有权解除合同并没收履约保证金。</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37．采购单位拒绝响应标的权力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37.1 采购单位不承诺将合同授予报价最低的供应商。采购单位在发出成交通知书前，有权依据磋商小组的评审报告拒绝任何不合格的响应。</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38．成交通知书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38.1 确定出成交人后，采购单位将成交结果报采购管理部门，并将成交结果进行公示。公示期内无异议，采购单位将以书面形式通知成交人其响应被接受，同时将成交结果通知所有未成交的供应商。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38.2 成交通知书为合同的组成部分。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39．合同协议书的签订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39.1 采购单位与成交人将于成交通知书发出之日起30日内，按照磋商文件和成交人的响应文件订立书面工程施工合同。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39.2 成交人如不按本采购须知第37．1款的规定与采购单位订立合同，则采购单位将废除授标，保证金将不予退还，给采购单位造成的损失超过保证金数额的，还应当对超过部分予以赔偿，同时依法承担相应法律责任。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39.3 成交人应当按照合同约定履行义务，完成成交项目施工，不得将成交项目施工转让(转包)给他人。</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40．纪律与监督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.1 严禁供应商向参与评审工作的有关人员行贿，使其泄露一切与评审工作有关的信息。在评审期间，不得邀请参与评审工作的有关人员到供应商单位参观考察或出席供应商主办的或赞助的任何活动。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.2 供应商在采购过程中严禁互相串通、结盟，损害采购的公正性和竞争性，或以任何方式影响其他供应商参与正当采购的。</w:t>
      </w:r>
    </w:p>
    <w:p>
      <w:pPr>
        <w:overflowPunct w:val="0"/>
        <w:autoSpaceDE w:val="0"/>
        <w:snapToGrid w:val="0"/>
        <w:spacing w:line="360" w:lineRule="auto"/>
        <w:ind w:firstLine="480"/>
        <w:rPr>
          <w:rFonts w:ascii="仿宋" w:hAnsi="仿宋" w:eastAsia="仿宋" w:cs="仿宋"/>
          <w:sz w:val="44"/>
        </w:rPr>
      </w:pPr>
      <w:r>
        <w:rPr>
          <w:rFonts w:hint="eastAsia" w:ascii="仿宋" w:hAnsi="仿宋" w:eastAsia="仿宋" w:cs="仿宋"/>
          <w:sz w:val="24"/>
          <w:szCs w:val="24"/>
        </w:rPr>
        <w:t>40</w:t>
      </w:r>
      <w:r>
        <w:rPr>
          <w:rFonts w:hint="eastAsia" w:ascii="仿宋" w:hAnsi="仿宋" w:eastAsia="仿宋" w:cs="仿宋"/>
          <w:spacing w:val="-8"/>
          <w:sz w:val="24"/>
          <w:szCs w:val="24"/>
        </w:rPr>
        <w:t>.3 如发现供应商有上述不正当竞争行为，将取消其响应资格或成交资格。</w:t>
      </w:r>
      <w:r>
        <w:rPr>
          <w:rFonts w:hint="eastAsia" w:ascii="仿宋" w:hAnsi="仿宋" w:eastAsia="仿宋" w:cs="仿宋"/>
          <w:b/>
        </w:rPr>
        <w:br w:type="page"/>
      </w:r>
    </w:p>
    <w:p>
      <w:pPr>
        <w:pStyle w:val="3"/>
        <w:spacing w:before="0" w:after="0" w:line="360" w:lineRule="auto"/>
        <w:jc w:val="center"/>
        <w:rPr>
          <w:rFonts w:ascii="仿宋" w:hAnsi="仿宋" w:eastAsia="仿宋" w:cs="仿宋"/>
          <w:b w:val="0"/>
        </w:rPr>
      </w:pPr>
      <w:bookmarkStart w:id="34" w:name="_Toc535048507"/>
      <w:bookmarkStart w:id="35" w:name="_Toc2962"/>
      <w:r>
        <w:rPr>
          <w:rFonts w:hint="eastAsia" w:ascii="仿宋" w:hAnsi="仿宋" w:eastAsia="仿宋" w:cs="仿宋"/>
          <w:b w:val="0"/>
          <w:sz w:val="40"/>
        </w:rPr>
        <w:t>第二章 供应商应当提交的资格、资信等证明文件</w:t>
      </w:r>
      <w:bookmarkEnd w:id="34"/>
      <w:bookmarkEnd w:id="35"/>
    </w:p>
    <w:p>
      <w:pPr>
        <w:spacing w:line="360" w:lineRule="auto"/>
        <w:ind w:firstLine="451" w:firstLineChars="171"/>
        <w:rPr>
          <w:rFonts w:ascii="仿宋" w:hAnsi="仿宋" w:eastAsia="仿宋" w:cs="仿宋"/>
          <w:spacing w:val="-8"/>
        </w:rPr>
      </w:pPr>
      <w:bookmarkStart w:id="36" w:name="_Toc434614158"/>
      <w:r>
        <w:rPr>
          <w:rFonts w:hint="eastAsia" w:ascii="仿宋" w:hAnsi="仿宋" w:eastAsia="仿宋" w:cs="仿宋"/>
          <w:spacing w:val="-8"/>
        </w:rPr>
        <w:t>1.资格、资信等证明文件目录</w:t>
      </w:r>
      <w:bookmarkEnd w:id="36"/>
    </w:p>
    <w:tbl>
      <w:tblPr>
        <w:tblStyle w:val="20"/>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43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序号</w:t>
            </w:r>
          </w:p>
        </w:tc>
        <w:tc>
          <w:tcPr>
            <w:tcW w:w="6431"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证明材料名称</w:t>
            </w:r>
          </w:p>
        </w:tc>
        <w:tc>
          <w:tcPr>
            <w:tcW w:w="2318"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1</w:t>
            </w:r>
          </w:p>
        </w:tc>
        <w:tc>
          <w:tcPr>
            <w:tcW w:w="6431" w:type="dxa"/>
            <w:vAlign w:val="center"/>
          </w:tcPr>
          <w:p>
            <w:pPr>
              <w:pStyle w:val="2"/>
              <w:spacing w:line="440" w:lineRule="exact"/>
              <w:rPr>
                <w:rFonts w:ascii="仿宋" w:hAnsi="仿宋" w:eastAsia="仿宋" w:cs="仿宋"/>
                <w:spacing w:val="-8"/>
                <w:sz w:val="24"/>
                <w:szCs w:val="24"/>
              </w:rPr>
            </w:pPr>
            <w:r>
              <w:rPr>
                <w:rFonts w:hint="eastAsia" w:ascii="仿宋" w:hAnsi="仿宋" w:eastAsia="仿宋" w:cs="仿宋"/>
                <w:spacing w:val="-8"/>
                <w:sz w:val="24"/>
                <w:szCs w:val="24"/>
              </w:rPr>
              <w:t>合法经营权的凭证（如:营业执照、登记证书、执业许可证等）</w:t>
            </w:r>
          </w:p>
        </w:tc>
        <w:tc>
          <w:tcPr>
            <w:tcW w:w="2318"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原件或</w:t>
            </w: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2</w:t>
            </w:r>
          </w:p>
        </w:tc>
        <w:tc>
          <w:tcPr>
            <w:tcW w:w="6431" w:type="dxa"/>
            <w:vAlign w:val="center"/>
          </w:tcPr>
          <w:p>
            <w:pPr>
              <w:pStyle w:val="2"/>
              <w:spacing w:line="440" w:lineRule="exact"/>
              <w:rPr>
                <w:rFonts w:ascii="仿宋" w:hAnsi="仿宋" w:eastAsia="仿宋" w:cs="仿宋"/>
                <w:spacing w:val="-8"/>
                <w:sz w:val="24"/>
                <w:szCs w:val="24"/>
              </w:rPr>
            </w:pPr>
            <w:r>
              <w:rPr>
                <w:rFonts w:hint="eastAsia" w:ascii="仿宋" w:hAnsi="仿宋" w:eastAsia="仿宋" w:cs="仿宋"/>
                <w:spacing w:val="-8"/>
                <w:sz w:val="24"/>
                <w:szCs w:val="24"/>
              </w:rPr>
              <w:t>在经营活动中没有重大违法记录的书面声明（格式详见磋商文件“第七章 响应文件格式”附件1）</w:t>
            </w:r>
          </w:p>
        </w:tc>
        <w:tc>
          <w:tcPr>
            <w:tcW w:w="2318"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3</w:t>
            </w:r>
          </w:p>
        </w:tc>
        <w:tc>
          <w:tcPr>
            <w:tcW w:w="6431" w:type="dxa"/>
            <w:vAlign w:val="center"/>
          </w:tcPr>
          <w:p>
            <w:pPr>
              <w:pStyle w:val="2"/>
              <w:spacing w:line="440" w:lineRule="exact"/>
              <w:rPr>
                <w:rFonts w:ascii="仿宋" w:hAnsi="仿宋" w:eastAsia="仿宋" w:cs="仿宋"/>
                <w:spacing w:val="-8"/>
                <w:sz w:val="24"/>
                <w:szCs w:val="24"/>
              </w:rPr>
            </w:pPr>
            <w:r>
              <w:rPr>
                <w:rFonts w:hint="eastAsia" w:ascii="仿宋" w:hAnsi="仿宋" w:eastAsia="仿宋" w:cs="仿宋"/>
                <w:spacing w:val="-8"/>
                <w:sz w:val="24"/>
                <w:szCs w:val="24"/>
              </w:rPr>
              <w:t>采购诚信承诺书（格式详见磋商文件“第七章 响应文件格式”附件2）</w:t>
            </w:r>
          </w:p>
        </w:tc>
        <w:tc>
          <w:tcPr>
            <w:tcW w:w="2318"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4</w:t>
            </w:r>
          </w:p>
        </w:tc>
        <w:tc>
          <w:tcPr>
            <w:tcW w:w="6431" w:type="dxa"/>
            <w:vAlign w:val="center"/>
          </w:tcPr>
          <w:p>
            <w:pPr>
              <w:pStyle w:val="2"/>
              <w:spacing w:line="440" w:lineRule="exact"/>
              <w:rPr>
                <w:rFonts w:ascii="仿宋" w:hAnsi="仿宋" w:eastAsia="仿宋" w:cs="仿宋"/>
                <w:spacing w:val="-8"/>
                <w:sz w:val="24"/>
                <w:szCs w:val="24"/>
              </w:rPr>
            </w:pPr>
            <w:r>
              <w:rPr>
                <w:rFonts w:hint="eastAsia" w:ascii="仿宋" w:hAnsi="仿宋" w:eastAsia="仿宋" w:cs="仿宋"/>
                <w:spacing w:val="-8"/>
                <w:sz w:val="24"/>
                <w:szCs w:val="24"/>
              </w:rPr>
              <w:t>经审计的财务状况报告或银行出具的有效期内的资信证明</w:t>
            </w:r>
          </w:p>
        </w:tc>
        <w:tc>
          <w:tcPr>
            <w:tcW w:w="2318"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原件或</w:t>
            </w: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5</w:t>
            </w:r>
          </w:p>
        </w:tc>
        <w:tc>
          <w:tcPr>
            <w:tcW w:w="6431" w:type="dxa"/>
            <w:vAlign w:val="center"/>
          </w:tcPr>
          <w:p>
            <w:pPr>
              <w:pStyle w:val="2"/>
              <w:spacing w:line="440" w:lineRule="exact"/>
              <w:rPr>
                <w:rFonts w:ascii="仿宋" w:hAnsi="仿宋" w:eastAsia="仿宋" w:cs="仿宋"/>
                <w:spacing w:val="-8"/>
                <w:sz w:val="24"/>
                <w:szCs w:val="24"/>
              </w:rPr>
            </w:pPr>
            <w:r>
              <w:rPr>
                <w:rFonts w:hint="eastAsia" w:ascii="仿宋" w:hAnsi="仿宋" w:eastAsia="仿宋" w:cs="仿宋"/>
                <w:spacing w:val="-8"/>
                <w:sz w:val="24"/>
                <w:szCs w:val="24"/>
              </w:rPr>
              <w:t>缴纳税收和社会保障资金的相关材料</w:t>
            </w:r>
          </w:p>
        </w:tc>
        <w:tc>
          <w:tcPr>
            <w:tcW w:w="2318"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原件或</w:t>
            </w: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6</w:t>
            </w:r>
          </w:p>
        </w:tc>
        <w:tc>
          <w:tcPr>
            <w:tcW w:w="6431" w:type="dxa"/>
            <w:vAlign w:val="center"/>
          </w:tcPr>
          <w:p>
            <w:pPr>
              <w:pStyle w:val="2"/>
              <w:spacing w:line="440" w:lineRule="exact"/>
              <w:jc w:val="left"/>
              <w:rPr>
                <w:rFonts w:ascii="仿宋" w:hAnsi="仿宋" w:eastAsia="仿宋" w:cs="仿宋"/>
                <w:spacing w:val="-8"/>
                <w:sz w:val="24"/>
                <w:szCs w:val="24"/>
              </w:rPr>
            </w:pPr>
            <w:r>
              <w:rPr>
                <w:rFonts w:hint="eastAsia" w:ascii="仿宋" w:hAnsi="仿宋" w:eastAsia="仿宋" w:cs="仿宋"/>
                <w:spacing w:val="-8"/>
                <w:sz w:val="24"/>
                <w:szCs w:val="24"/>
              </w:rPr>
              <w:t>通过“信用中国”网站（www.creditchina.gov.cn）查询，未被列入失信惩戒、重大税收违法案件当事人、严重违法失信行为记录名单。</w:t>
            </w:r>
          </w:p>
        </w:tc>
        <w:tc>
          <w:tcPr>
            <w:tcW w:w="2318"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原件或</w:t>
            </w: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7</w:t>
            </w:r>
          </w:p>
        </w:tc>
        <w:tc>
          <w:tcPr>
            <w:tcW w:w="6431" w:type="dxa"/>
            <w:vAlign w:val="center"/>
          </w:tcPr>
          <w:p>
            <w:pPr>
              <w:pStyle w:val="2"/>
              <w:spacing w:line="440" w:lineRule="exact"/>
              <w:rPr>
                <w:rFonts w:ascii="仿宋" w:hAnsi="仿宋" w:eastAsia="仿宋" w:cs="仿宋"/>
                <w:spacing w:val="-8"/>
                <w:sz w:val="24"/>
                <w:szCs w:val="24"/>
              </w:rPr>
            </w:pPr>
            <w:r>
              <w:rPr>
                <w:rFonts w:hint="eastAsia" w:ascii="仿宋" w:hAnsi="仿宋" w:eastAsia="仿宋" w:cs="仿宋"/>
                <w:spacing w:val="-8"/>
                <w:sz w:val="24"/>
                <w:szCs w:val="24"/>
              </w:rPr>
              <w:t>业绩证明材料</w:t>
            </w:r>
          </w:p>
        </w:tc>
        <w:tc>
          <w:tcPr>
            <w:tcW w:w="2318"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spacing w:line="440" w:lineRule="exact"/>
              <w:jc w:val="center"/>
              <w:rPr>
                <w:rFonts w:ascii="仿宋" w:hAnsi="仿宋" w:eastAsia="仿宋" w:cs="仿宋"/>
                <w:spacing w:val="-8"/>
                <w:sz w:val="24"/>
                <w:szCs w:val="24"/>
              </w:rPr>
            </w:pPr>
            <w:r>
              <w:rPr>
                <w:rFonts w:hint="eastAsia" w:ascii="仿宋" w:hAnsi="仿宋" w:eastAsia="仿宋" w:cs="仿宋"/>
                <w:spacing w:val="-8"/>
                <w:sz w:val="24"/>
                <w:szCs w:val="24"/>
              </w:rPr>
              <w:t>8</w:t>
            </w:r>
          </w:p>
        </w:tc>
        <w:tc>
          <w:tcPr>
            <w:tcW w:w="6431" w:type="dxa"/>
            <w:vAlign w:val="center"/>
          </w:tcPr>
          <w:p>
            <w:pPr>
              <w:pStyle w:val="2"/>
              <w:spacing w:line="440" w:lineRule="exact"/>
              <w:rPr>
                <w:rFonts w:ascii="仿宋" w:hAnsi="仿宋" w:eastAsia="仿宋" w:cs="仿宋"/>
                <w:spacing w:val="-8"/>
                <w:sz w:val="24"/>
                <w:szCs w:val="24"/>
              </w:rPr>
            </w:pPr>
            <w:r>
              <w:rPr>
                <w:rFonts w:hint="eastAsia" w:ascii="仿宋" w:hAnsi="仿宋" w:eastAsia="仿宋" w:cs="仿宋"/>
                <w:spacing w:val="-8"/>
                <w:sz w:val="24"/>
                <w:szCs w:val="24"/>
              </w:rPr>
              <w:t>评标办法中评分所需的其他相关证明材料</w:t>
            </w:r>
          </w:p>
        </w:tc>
        <w:tc>
          <w:tcPr>
            <w:tcW w:w="2318" w:type="dxa"/>
            <w:vAlign w:val="center"/>
          </w:tcPr>
          <w:p>
            <w:pPr>
              <w:pStyle w:val="2"/>
              <w:spacing w:line="440" w:lineRule="exact"/>
              <w:jc w:val="center"/>
              <w:rPr>
                <w:rFonts w:ascii="仿宋" w:hAnsi="仿宋" w:eastAsia="仿宋" w:cs="仿宋"/>
                <w:spacing w:val="-8"/>
                <w:sz w:val="24"/>
                <w:szCs w:val="24"/>
              </w:rPr>
            </w:pPr>
          </w:p>
        </w:tc>
      </w:tr>
    </w:tbl>
    <w:p>
      <w:pPr>
        <w:spacing w:line="360" w:lineRule="auto"/>
        <w:rPr>
          <w:rFonts w:ascii="仿宋" w:hAnsi="仿宋" w:eastAsia="仿宋" w:cs="仿宋"/>
          <w:spacing w:val="-8"/>
          <w:sz w:val="24"/>
          <w:szCs w:val="24"/>
        </w:rPr>
      </w:pPr>
      <w:r>
        <w:rPr>
          <w:rFonts w:hint="eastAsia" w:ascii="仿宋" w:hAnsi="仿宋" w:eastAsia="仿宋" w:cs="仿宋"/>
          <w:spacing w:val="-8"/>
          <w:sz w:val="24"/>
          <w:szCs w:val="24"/>
        </w:rPr>
        <w:t>备注：</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 xml:space="preserve">（1）开标时，供应商应当提交上述证明材料 </w:t>
      </w:r>
      <w:r>
        <w:rPr>
          <w:rFonts w:hint="eastAsia" w:ascii="仿宋" w:hAnsi="仿宋" w:eastAsia="仿宋" w:cs="仿宋"/>
          <w:spacing w:val="-8"/>
          <w:sz w:val="24"/>
          <w:szCs w:val="24"/>
          <w:u w:val="single"/>
        </w:rPr>
        <w:t>1-6</w:t>
      </w:r>
      <w:r>
        <w:rPr>
          <w:rFonts w:hint="eastAsia" w:ascii="仿宋" w:hAnsi="仿宋" w:eastAsia="仿宋" w:cs="仿宋"/>
          <w:spacing w:val="-8"/>
          <w:sz w:val="24"/>
          <w:szCs w:val="24"/>
        </w:rPr>
        <w:t>项，未提交或提交不全的视为资格性、符合性审查不合格；</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（2）要求提供的证明材料可以是复印件的，需加盖供应商公章。</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3）缴纳税收的证明材料是指供应商税务登记证（或统一社会信用代码营业执照）和参加采购活动前一段时间内缴纳增值税、营业税和企业所得税的凭据。缴纳社会保障资金的证明材料是指参加采购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pPr>
        <w:spacing w:line="360" w:lineRule="auto"/>
        <w:ind w:firstLine="451" w:firstLineChars="171"/>
        <w:rPr>
          <w:rFonts w:ascii="仿宋" w:hAnsi="仿宋" w:eastAsia="仿宋" w:cs="仿宋"/>
          <w:spacing w:val="-8"/>
        </w:rPr>
      </w:pPr>
      <w:bookmarkStart w:id="37" w:name="_Toc434614159"/>
      <w:r>
        <w:rPr>
          <w:rFonts w:hint="eastAsia" w:ascii="仿宋" w:hAnsi="仿宋" w:eastAsia="仿宋" w:cs="仿宋"/>
          <w:spacing w:val="-8"/>
        </w:rPr>
        <w:t>2.其他规定</w:t>
      </w:r>
      <w:bookmarkEnd w:id="37"/>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2.1供应商的资格证明材料应当真实、有效、完整，字迹、印章要清晰。</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2.2磋商文件中所要求的相关证明资料原件，应当在递交响应文件截止时间前与响应文件一并递交，逾期拒绝接收。</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2.3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2.4营业执照等原件无法提供的，可提供由发证机关出具的证明材料原件或公证处出具的公证书原件。</w:t>
      </w:r>
    </w:p>
    <w:p>
      <w:pPr>
        <w:spacing w:line="360" w:lineRule="auto"/>
        <w:rPr>
          <w:rFonts w:ascii="仿宋" w:hAnsi="仿宋" w:eastAsia="仿宋" w:cs="仿宋"/>
          <w:spacing w:val="-8"/>
          <w:sz w:val="24"/>
          <w:szCs w:val="24"/>
        </w:rPr>
      </w:pPr>
    </w:p>
    <w:p>
      <w:pPr>
        <w:widowControl/>
        <w:suppressAutoHyphens w:val="0"/>
        <w:jc w:val="left"/>
        <w:rPr>
          <w:rFonts w:ascii="仿宋" w:hAnsi="仿宋" w:eastAsia="仿宋" w:cs="仿宋"/>
          <w:sz w:val="44"/>
        </w:rPr>
      </w:pPr>
      <w:r>
        <w:rPr>
          <w:rFonts w:hint="eastAsia" w:ascii="仿宋" w:hAnsi="仿宋" w:eastAsia="仿宋" w:cs="仿宋"/>
          <w:b/>
        </w:rPr>
        <w:br w:type="page"/>
      </w:r>
    </w:p>
    <w:p>
      <w:pPr>
        <w:pStyle w:val="3"/>
        <w:spacing w:before="0" w:after="0" w:line="360" w:lineRule="auto"/>
        <w:jc w:val="center"/>
        <w:rPr>
          <w:rFonts w:ascii="仿宋" w:hAnsi="仿宋" w:eastAsia="仿宋" w:cs="仿宋"/>
          <w:b w:val="0"/>
          <w:sz w:val="24"/>
          <w:szCs w:val="24"/>
        </w:rPr>
      </w:pPr>
      <w:bookmarkStart w:id="38" w:name="_Toc2064"/>
      <w:bookmarkStart w:id="39" w:name="_Toc535048508"/>
      <w:r>
        <w:rPr>
          <w:rFonts w:hint="eastAsia" w:ascii="仿宋" w:hAnsi="仿宋" w:eastAsia="仿宋" w:cs="仿宋"/>
          <w:b w:val="0"/>
        </w:rPr>
        <w:t>第三章     合同条款</w:t>
      </w:r>
      <w:bookmarkEnd w:id="38"/>
      <w:bookmarkEnd w:id="39"/>
    </w:p>
    <w:p>
      <w:pPr>
        <w:widowControl/>
        <w:spacing w:line="360" w:lineRule="auto"/>
        <w:jc w:val="center"/>
        <w:rPr>
          <w:rFonts w:ascii="仿宋" w:hAnsi="仿宋" w:eastAsia="仿宋" w:cs="仿宋"/>
          <w:kern w:val="0"/>
          <w:szCs w:val="28"/>
          <w:u w:val="single"/>
        </w:rPr>
      </w:pPr>
      <w:bookmarkStart w:id="40" w:name="_Toc535048509"/>
      <w:r>
        <w:rPr>
          <w:rFonts w:hint="eastAsia" w:ascii="仿宋" w:hAnsi="仿宋" w:eastAsia="仿宋" w:cs="仿宋"/>
          <w:kern w:val="0"/>
          <w:szCs w:val="28"/>
        </w:rPr>
        <w:t>山东科技大学</w:t>
      </w:r>
      <w:r>
        <w:rPr>
          <w:rFonts w:hint="eastAsia" w:ascii="仿宋" w:hAnsi="仿宋" w:eastAsia="仿宋" w:cs="仿宋"/>
          <w:kern w:val="0"/>
          <w:szCs w:val="28"/>
          <w:u w:val="single"/>
        </w:rPr>
        <w:t xml:space="preserve">          </w:t>
      </w:r>
      <w:r>
        <w:rPr>
          <w:rFonts w:hint="eastAsia" w:ascii="仿宋" w:hAnsi="仿宋" w:eastAsia="仿宋" w:cs="仿宋"/>
          <w:kern w:val="0"/>
          <w:szCs w:val="28"/>
        </w:rPr>
        <w:t>工程合同</w:t>
      </w:r>
    </w:p>
    <w:p>
      <w:pPr>
        <w:widowControl/>
        <w:spacing w:line="360" w:lineRule="auto"/>
        <w:jc w:val="left"/>
        <w:rPr>
          <w:rFonts w:ascii="仿宋" w:hAnsi="仿宋" w:eastAsia="仿宋" w:cs="仿宋"/>
          <w:kern w:val="0"/>
          <w:sz w:val="24"/>
          <w:szCs w:val="24"/>
        </w:rPr>
      </w:pP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甲方：</w:t>
      </w:r>
      <w:r>
        <w:rPr>
          <w:rFonts w:hint="eastAsia" w:ascii="仿宋" w:hAnsi="仿宋" w:eastAsia="仿宋" w:cs="仿宋"/>
          <w:kern w:val="0"/>
          <w:sz w:val="24"/>
          <w:szCs w:val="24"/>
          <w:u w:val="single"/>
        </w:rPr>
        <w:t xml:space="preserve"> 山东科技大学  </w:t>
      </w:r>
      <w:r>
        <w:rPr>
          <w:rFonts w:hint="eastAsia" w:ascii="仿宋" w:hAnsi="仿宋" w:eastAsia="仿宋" w:cs="仿宋"/>
          <w:kern w:val="0"/>
          <w:sz w:val="24"/>
          <w:szCs w:val="24"/>
        </w:rPr>
        <w:t>（以下简称甲方）</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乙方：</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（以下简称乙方）</w:t>
      </w:r>
    </w:p>
    <w:p>
      <w:pPr>
        <w:widowControl/>
        <w:spacing w:before="120" w:beforeLines="50" w:line="360" w:lineRule="auto"/>
        <w:ind w:firstLine="480" w:firstLineChars="200"/>
        <w:rPr>
          <w:rFonts w:ascii="仿宋" w:hAnsi="仿宋" w:eastAsia="仿宋" w:cs="仿宋"/>
          <w:kern w:val="0"/>
          <w:sz w:val="24"/>
          <w:szCs w:val="24"/>
          <w:u w:val="none"/>
        </w:rPr>
      </w:pPr>
      <w:r>
        <w:rPr>
          <w:rFonts w:hint="eastAsia" w:ascii="仿宋" w:hAnsi="仿宋" w:eastAsia="仿宋" w:cs="仿宋"/>
          <w:kern w:val="0"/>
          <w:sz w:val="24"/>
          <w:szCs w:val="24"/>
        </w:rPr>
        <w:t>依照《中华人民共和国合同法》、《中华人民共和国建筑法》及其他法律、法规，遵循平等、自愿、公平和诚实信用的原则，双方就</w:t>
      </w:r>
      <w:r>
        <w:rPr>
          <w:rFonts w:hint="eastAsia" w:ascii="仿宋" w:hAnsi="仿宋" w:eastAsia="仿宋" w:cs="仿宋"/>
          <w:kern w:val="0"/>
          <w:sz w:val="24"/>
          <w:szCs w:val="24"/>
          <w:u w:val="single"/>
        </w:rPr>
        <w:t>山东科技大学             工程</w:t>
      </w:r>
      <w:r>
        <w:rPr>
          <w:rFonts w:hint="eastAsia" w:ascii="仿宋" w:hAnsi="仿宋" w:eastAsia="仿宋" w:cs="仿宋"/>
          <w:kern w:val="0"/>
          <w:sz w:val="24"/>
          <w:szCs w:val="24"/>
          <w:u w:val="none"/>
        </w:rPr>
        <w:t>有关事项协商一致，签订本合同，共同遵守。</w:t>
      </w:r>
    </w:p>
    <w:p>
      <w:pPr>
        <w:numPr>
          <w:ilvl w:val="0"/>
          <w:numId w:val="1"/>
        </w:numPr>
        <w:tabs>
          <w:tab w:val="clear" w:pos="720"/>
        </w:tabs>
        <w:snapToGrid w:val="0"/>
        <w:spacing w:line="276" w:lineRule="auto"/>
        <w:ind w:left="0" w:firstLine="540"/>
        <w:rPr>
          <w:rFonts w:ascii="仿宋" w:hAnsi="仿宋" w:eastAsia="仿宋" w:cs="仿宋"/>
          <w:sz w:val="24"/>
          <w:szCs w:val="24"/>
          <w:u w:val="none"/>
        </w:rPr>
      </w:pPr>
      <w:r>
        <w:rPr>
          <w:rFonts w:hint="eastAsia" w:ascii="仿宋" w:hAnsi="仿宋" w:eastAsia="仿宋" w:cs="仿宋"/>
          <w:sz w:val="24"/>
          <w:szCs w:val="24"/>
          <w:u w:val="none"/>
        </w:rPr>
        <w:t xml:space="preserve">工程名称： </w:t>
      </w:r>
    </w:p>
    <w:p>
      <w:pPr>
        <w:numPr>
          <w:ilvl w:val="0"/>
          <w:numId w:val="1"/>
        </w:numPr>
        <w:tabs>
          <w:tab w:val="clear" w:pos="720"/>
        </w:tabs>
        <w:snapToGrid w:val="0"/>
        <w:spacing w:line="276" w:lineRule="auto"/>
        <w:ind w:left="0" w:firstLine="540"/>
        <w:rPr>
          <w:rFonts w:ascii="仿宋" w:hAnsi="仿宋" w:eastAsia="仿宋" w:cs="仿宋"/>
          <w:color w:val="auto"/>
          <w:sz w:val="24"/>
          <w:szCs w:val="24"/>
          <w:u w:val="none"/>
        </w:rPr>
      </w:pPr>
      <w:r>
        <w:rPr>
          <w:rFonts w:hint="eastAsia" w:ascii="仿宋" w:hAnsi="仿宋" w:eastAsia="仿宋" w:cs="仿宋"/>
          <w:color w:val="auto"/>
          <w:sz w:val="24"/>
          <w:szCs w:val="24"/>
          <w:u w:val="none"/>
        </w:rPr>
        <w:t>承包方式：包工包料。</w:t>
      </w:r>
    </w:p>
    <w:p>
      <w:pPr>
        <w:numPr>
          <w:ilvl w:val="0"/>
          <w:numId w:val="1"/>
        </w:numPr>
        <w:tabs>
          <w:tab w:val="clear" w:pos="720"/>
        </w:tabs>
        <w:snapToGrid w:val="0"/>
        <w:spacing w:line="276" w:lineRule="auto"/>
        <w:ind w:left="0" w:firstLine="540"/>
        <w:rPr>
          <w:rFonts w:ascii="仿宋" w:hAnsi="仿宋" w:eastAsia="仿宋" w:cs="仿宋"/>
          <w:color w:val="auto"/>
          <w:sz w:val="24"/>
          <w:szCs w:val="24"/>
          <w:u w:val="none"/>
        </w:rPr>
      </w:pPr>
      <w:r>
        <w:rPr>
          <w:rFonts w:hint="eastAsia" w:ascii="仿宋" w:hAnsi="仿宋" w:eastAsia="仿宋" w:cs="仿宋"/>
          <w:color w:val="auto"/>
          <w:sz w:val="24"/>
          <w:szCs w:val="24"/>
          <w:u w:val="none"/>
        </w:rPr>
        <w:t>工程内容及价格：</w:t>
      </w:r>
    </w:p>
    <w:p>
      <w:pPr>
        <w:pStyle w:val="2"/>
        <w:rPr>
          <w:rFonts w:hint="default" w:eastAsia="宋体"/>
          <w:color w:val="auto"/>
          <w:u w:val="none"/>
          <w:lang w:val="en-US" w:eastAsia="zh-CN"/>
        </w:rPr>
      </w:pPr>
      <w:r>
        <w:rPr>
          <w:rFonts w:hint="eastAsia"/>
          <w:color w:val="auto"/>
          <w:u w:val="none"/>
          <w:lang w:val="en-US" w:eastAsia="zh-CN"/>
        </w:rPr>
        <w:t>成交价格表。</w:t>
      </w:r>
    </w:p>
    <w:p>
      <w:pPr>
        <w:spacing w:line="360" w:lineRule="auto"/>
        <w:ind w:firstLine="480"/>
        <w:rPr>
          <w:rFonts w:ascii="仿宋" w:hAnsi="仿宋" w:eastAsia="仿宋" w:cs="仿宋"/>
          <w:sz w:val="24"/>
          <w:szCs w:val="24"/>
        </w:rPr>
      </w:pPr>
      <w:r>
        <w:rPr>
          <w:rFonts w:hint="eastAsia" w:ascii="仿宋" w:hAnsi="仿宋" w:eastAsia="仿宋" w:cs="仿宋"/>
          <w:color w:val="auto"/>
          <w:sz w:val="24"/>
          <w:szCs w:val="24"/>
          <w:u w:val="none"/>
        </w:rPr>
        <w:t>一、上表项目内容及单价中标人</w:t>
      </w:r>
      <w:r>
        <w:rPr>
          <w:rFonts w:hint="eastAsia" w:ascii="仿宋" w:hAnsi="仿宋" w:eastAsia="仿宋" w:cs="仿宋"/>
          <w:sz w:val="24"/>
          <w:szCs w:val="24"/>
          <w:u w:val="none"/>
        </w:rPr>
        <w:t>与立项监管部门不得随意协商变更，如有特殊情</w:t>
      </w:r>
      <w:r>
        <w:rPr>
          <w:rFonts w:hint="eastAsia" w:ascii="仿宋" w:hAnsi="仿宋" w:eastAsia="仿宋" w:cs="仿宋"/>
          <w:sz w:val="24"/>
          <w:szCs w:val="24"/>
        </w:rPr>
        <w:t>况立项监管部门要写明原因经部门领导签字，甲方组织有关部门论证定价后方可实施。</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二、暂列金根据实际发生数量据实结算。工程施工中如发生上表中未明确列明价格项目，从暂列金中列支，但内容及价格需经甲方书面同意后方可实施，但总价不得超出上表中暂列金总价。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三、上表其余单价为工程竣工验收合格综合结算价，包括材料费、人工费、管理费、税金等所有施工结算中发生的各种费用。不再计取其他任何费用。工程总价根据实际发生数量经审计后据实结算，但结算总价不得超出控制价(金额大写),在控制价内结算总价不得超出合同总价的10%。未经甲方事先书面同意，超出部分视为乙方免费赠送，不予结算。</w:t>
      </w:r>
    </w:p>
    <w:p>
      <w:pPr>
        <w:widowControl/>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kern w:val="0"/>
          <w:sz w:val="24"/>
          <w:szCs w:val="24"/>
        </w:rPr>
        <w:t>第四条   工期：</w:t>
      </w:r>
      <w:r>
        <w:rPr>
          <w:rFonts w:hint="eastAsia" w:ascii="仿宋" w:hAnsi="仿宋" w:eastAsia="仿宋" w:cs="仿宋"/>
          <w:kern w:val="0"/>
          <w:sz w:val="24"/>
          <w:szCs w:val="24"/>
        </w:rPr>
        <w:t>自合同签订日起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个工作日内完成。自通过交工验收之日起</w:t>
      </w:r>
      <w:r>
        <w:rPr>
          <w:rFonts w:hint="eastAsia" w:ascii="仿宋" w:hAnsi="仿宋" w:eastAsia="仿宋" w:cs="仿宋"/>
          <w:kern w:val="0"/>
          <w:sz w:val="24"/>
          <w:szCs w:val="24"/>
          <w:u w:val="single"/>
        </w:rPr>
        <w:t xml:space="preserve"> 壹 </w:t>
      </w:r>
      <w:r>
        <w:rPr>
          <w:rFonts w:hint="eastAsia" w:ascii="仿宋" w:hAnsi="仿宋" w:eastAsia="仿宋" w:cs="仿宋"/>
          <w:kern w:val="0"/>
          <w:sz w:val="24"/>
          <w:szCs w:val="24"/>
        </w:rPr>
        <w:t>年为工程质量缺陷责任期。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第五条  工程质量及验收标准和依据</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以项目实施方案、甲方或其代表以书面形式批准的变更通知或施工指导意见、国家颁发的相关施工技术、验收规范、质量检验标准及有关规定为依据进行验收，工程质量等级为</w:t>
      </w:r>
      <w:r>
        <w:rPr>
          <w:rFonts w:hint="eastAsia" w:ascii="仿宋" w:hAnsi="仿宋" w:eastAsia="仿宋" w:cs="仿宋"/>
          <w:kern w:val="0"/>
          <w:sz w:val="24"/>
          <w:szCs w:val="24"/>
          <w:u w:val="single"/>
        </w:rPr>
        <w:t xml:space="preserve"> 合格 </w:t>
      </w:r>
      <w:r>
        <w:rPr>
          <w:rFonts w:hint="eastAsia" w:ascii="仿宋" w:hAnsi="仿宋" w:eastAsia="仿宋" w:cs="仿宋"/>
          <w:kern w:val="0"/>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第六条  甲方主要义务</w:t>
      </w:r>
    </w:p>
    <w:p>
      <w:pPr>
        <w:widowControl/>
        <w:tabs>
          <w:tab w:val="left" w:pos="425"/>
        </w:tabs>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一）提供本工程相关的供配电等能源系统相关资料；大楼能源系统的相关管理制度；建筑基本资料信息（含建筑面积、建筑内各用能部门面积、楼层信息、人员数量等信息）；单位及部门资料信息（含部门人数、使用的建筑面积等信息）以及各种用能设备统计表。 </w:t>
      </w:r>
    </w:p>
    <w:p>
      <w:pPr>
        <w:widowControl/>
        <w:tabs>
          <w:tab w:val="left" w:pos="425"/>
        </w:tabs>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（二）协助乙方办理施工过程中所需的出入证，并与各相关单位进行协调。</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（三）及时协调施工时的停电工作。</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（四）检查和监督乙方的施工管理、施工质量、进度以及安全生产。</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（五）及时组织项目验收，按本合同第五条及时支付工程款。</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（六）提供网络通道以便乙方进行远程在线诊断服务。</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（七）配合软件数据关系配置。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第七条  乙方主要义务</w:t>
      </w:r>
    </w:p>
    <w:p>
      <w:pPr>
        <w:widowControl/>
        <w:spacing w:line="360" w:lineRule="auto"/>
        <w:ind w:firstLine="540" w:firstLineChars="225"/>
        <w:jc w:val="left"/>
        <w:rPr>
          <w:rFonts w:ascii="仿宋" w:hAnsi="仿宋" w:eastAsia="仿宋" w:cs="仿宋"/>
          <w:sz w:val="24"/>
          <w:szCs w:val="24"/>
        </w:rPr>
      </w:pPr>
      <w:r>
        <w:rPr>
          <w:rFonts w:hint="eastAsia" w:ascii="仿宋" w:hAnsi="仿宋" w:eastAsia="仿宋" w:cs="仿宋"/>
          <w:kern w:val="0"/>
          <w:sz w:val="24"/>
          <w:szCs w:val="24"/>
        </w:rPr>
        <w:t>（一）</w:t>
      </w:r>
      <w:r>
        <w:rPr>
          <w:rFonts w:hint="eastAsia" w:ascii="仿宋" w:hAnsi="仿宋" w:eastAsia="仿宋" w:cs="仿宋"/>
          <w:sz w:val="24"/>
          <w:szCs w:val="24"/>
        </w:rPr>
        <w:t>按项目实施方案和有关工程施工技术规范以及甲方代表或监理的要求，按时完成示范工程建设。</w:t>
      </w:r>
    </w:p>
    <w:p>
      <w:pPr>
        <w:widowControl/>
        <w:spacing w:line="360" w:lineRule="auto"/>
        <w:ind w:firstLine="475" w:firstLineChars="198"/>
        <w:jc w:val="left"/>
        <w:rPr>
          <w:rFonts w:ascii="仿宋" w:hAnsi="仿宋" w:eastAsia="仿宋" w:cs="仿宋"/>
          <w:sz w:val="24"/>
          <w:szCs w:val="24"/>
        </w:rPr>
      </w:pPr>
      <w:r>
        <w:rPr>
          <w:rFonts w:hint="eastAsia" w:ascii="仿宋" w:hAnsi="仿宋" w:eastAsia="仿宋" w:cs="仿宋"/>
          <w:sz w:val="24"/>
          <w:szCs w:val="24"/>
        </w:rPr>
        <w:t>（二）施工期间服从甲方代表的现场管理，并接受甲方的监督、检查和验收，采取切实可行的措施，确保按期完成甲方委托的施工任务，并保证达到甲方要求的工程质量等级。</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（三）应有完备的原材料及施工自检资料，报验资料及时报甲方审核。工程结束后按甲方要求提交竣工图纸及相关资料和决算（一式</w:t>
      </w:r>
      <w:r>
        <w:rPr>
          <w:rFonts w:hint="eastAsia" w:ascii="仿宋" w:hAnsi="仿宋" w:eastAsia="仿宋" w:cs="仿宋"/>
          <w:sz w:val="24"/>
          <w:szCs w:val="24"/>
          <w:u w:val="single"/>
        </w:rPr>
        <w:t>2</w:t>
      </w:r>
      <w:r>
        <w:rPr>
          <w:rFonts w:hint="eastAsia" w:ascii="仿宋" w:hAnsi="仿宋" w:eastAsia="仿宋" w:cs="仿宋"/>
          <w:sz w:val="24"/>
          <w:szCs w:val="24"/>
        </w:rPr>
        <w:t>份）及其相应的电子文档</w:t>
      </w:r>
      <w:r>
        <w:rPr>
          <w:rFonts w:hint="eastAsia" w:ascii="仿宋" w:hAnsi="仿宋" w:eastAsia="仿宋" w:cs="仿宋"/>
          <w:sz w:val="24"/>
          <w:szCs w:val="24"/>
          <w:u w:val="single"/>
        </w:rPr>
        <w:t xml:space="preserve"> 壹 </w:t>
      </w:r>
      <w:r>
        <w:rPr>
          <w:rFonts w:hint="eastAsia" w:ascii="仿宋" w:hAnsi="仿宋" w:eastAsia="仿宋" w:cs="仿宋"/>
          <w:sz w:val="24"/>
          <w:szCs w:val="24"/>
        </w:rPr>
        <w:t>份，并配合甲方进行示范工程验收。</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四）严格遵守工程建设安全生产的有关规定，严格按照安全标准施工，采取必要的安全防护措施并对施工人员进行安全生产教育和管理；健全组织制度，指定主要领导负责安全工作，确保作业人员和车辆、设备的安全。</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（五）交工验收前认真做好已完工程的保护工作，以及壹年工程质量缺陷期内工程缺陷的修复工作，所发生的费用由乙方承担。</w:t>
      </w:r>
    </w:p>
    <w:p>
      <w:pPr>
        <w:widowControl/>
        <w:spacing w:line="360" w:lineRule="auto"/>
        <w:ind w:left="2" w:firstLine="477" w:firstLineChars="199"/>
        <w:jc w:val="left"/>
        <w:rPr>
          <w:rFonts w:ascii="仿宋" w:hAnsi="仿宋" w:eastAsia="仿宋" w:cs="仿宋"/>
          <w:kern w:val="0"/>
          <w:sz w:val="24"/>
          <w:szCs w:val="24"/>
        </w:rPr>
      </w:pPr>
      <w:r>
        <w:rPr>
          <w:rFonts w:hint="eastAsia" w:ascii="仿宋" w:hAnsi="仿宋" w:eastAsia="仿宋" w:cs="仿宋"/>
          <w:kern w:val="0"/>
          <w:sz w:val="24"/>
          <w:szCs w:val="24"/>
        </w:rPr>
        <w:t>（六）项目竣工15日内组织验收。</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kern w:val="0"/>
          <w:sz w:val="24"/>
          <w:szCs w:val="24"/>
        </w:rPr>
        <w:t>（七）验收合格后在乙方提交合格决算资料30日内完成审计工作。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第八条  合同金额及付款方式</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（一）本合同总价计人民币（大写）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（二）工程量发生增减时，按实际发生增减</w:t>
      </w:r>
      <w:r>
        <w:rPr>
          <w:rFonts w:hint="eastAsia" w:ascii="仿宋" w:hAnsi="仿宋" w:eastAsia="仿宋" w:cs="仿宋"/>
          <w:sz w:val="24"/>
          <w:szCs w:val="24"/>
        </w:rPr>
        <w:t>。</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（三）付款方式： </w:t>
      </w:r>
    </w:p>
    <w:p>
      <w:pPr>
        <w:widowControl/>
        <w:spacing w:line="360" w:lineRule="auto"/>
        <w:ind w:left="1358" w:leftChars="228" w:hanging="720" w:hangingChars="300"/>
        <w:jc w:val="left"/>
        <w:rPr>
          <w:rFonts w:ascii="仿宋" w:hAnsi="仿宋" w:eastAsia="仿宋" w:cs="仿宋"/>
          <w:sz w:val="24"/>
          <w:szCs w:val="24"/>
        </w:rPr>
      </w:pPr>
      <w:r>
        <w:rPr>
          <w:rFonts w:hint="eastAsia" w:ascii="仿宋" w:hAnsi="仿宋" w:eastAsia="仿宋" w:cs="仿宋"/>
          <w:sz w:val="24"/>
          <w:szCs w:val="24"/>
        </w:rPr>
        <w:t>第九条  工程保修期</w:t>
      </w:r>
    </w:p>
    <w:p>
      <w:pPr>
        <w:spacing w:line="360" w:lineRule="auto"/>
        <w:rPr>
          <w:rFonts w:ascii="仿宋" w:hAnsi="仿宋" w:eastAsia="仿宋" w:cs="仿宋"/>
          <w:sz w:val="24"/>
          <w:szCs w:val="24"/>
        </w:rPr>
      </w:pPr>
      <w:r>
        <w:rPr>
          <w:rFonts w:hint="eastAsia" w:ascii="仿宋" w:hAnsi="仿宋" w:eastAsia="仿宋" w:cs="仿宋"/>
          <w:sz w:val="24"/>
          <w:szCs w:val="24"/>
        </w:rPr>
        <w:t xml:space="preserve">     第十条  违约责任</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（一）因甲方原因导致工程延误，每逾期一天，按工程未完工程量造价的</w:t>
      </w:r>
      <w:r>
        <w:rPr>
          <w:rFonts w:hint="eastAsia" w:ascii="仿宋" w:hAnsi="仿宋" w:eastAsia="仿宋" w:cs="仿宋"/>
          <w:kern w:val="0"/>
          <w:sz w:val="24"/>
          <w:szCs w:val="24"/>
          <w:u w:val="single"/>
        </w:rPr>
        <w:t xml:space="preserve"> 1 </w:t>
      </w:r>
      <w:r>
        <w:rPr>
          <w:rFonts w:hint="eastAsia" w:ascii="仿宋" w:hAnsi="仿宋" w:eastAsia="仿宋" w:cs="仿宋"/>
          <w:kern w:val="0"/>
          <w:sz w:val="24"/>
          <w:szCs w:val="24"/>
        </w:rPr>
        <w:t>‰计算违约金，违约金最多不超过工程造价的1%，或工期顺延。</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（二）乙方未按合同规定的时间交工，每逾期一天，按工程未完工程量造价的</w:t>
      </w:r>
      <w:r>
        <w:rPr>
          <w:rFonts w:hint="eastAsia" w:ascii="仿宋" w:hAnsi="仿宋" w:eastAsia="仿宋" w:cs="仿宋"/>
          <w:kern w:val="0"/>
          <w:sz w:val="24"/>
          <w:szCs w:val="24"/>
          <w:u w:val="single"/>
        </w:rPr>
        <w:t xml:space="preserve"> 1 </w:t>
      </w:r>
      <w:r>
        <w:rPr>
          <w:rFonts w:hint="eastAsia" w:ascii="仿宋" w:hAnsi="仿宋" w:eastAsia="仿宋" w:cs="仿宋"/>
          <w:kern w:val="0"/>
          <w:sz w:val="24"/>
          <w:szCs w:val="24"/>
        </w:rPr>
        <w:t>‰计算违约金，违约金最多不超过工程造价的1%。</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（三）因乙方原因致使工程施工质量不符合国家有关规范标准或不符合双方约定标准，乙方负责返工，费用自理。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第十一条   不可抗力</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（一）当事人一方因不可抗力不能履行合同的，应当及时通知对方，并应当积极采取措施以减轻或消除可能给对方造成的损失，并应当在事件结束后</w:t>
      </w:r>
      <w:r>
        <w:rPr>
          <w:rFonts w:hint="eastAsia" w:ascii="仿宋" w:hAnsi="仿宋" w:eastAsia="仿宋" w:cs="仿宋"/>
          <w:kern w:val="0"/>
          <w:sz w:val="24"/>
          <w:szCs w:val="24"/>
          <w:u w:val="single"/>
        </w:rPr>
        <w:t xml:space="preserve"> 20 </w:t>
      </w:r>
      <w:r>
        <w:rPr>
          <w:rFonts w:hint="eastAsia" w:ascii="仿宋" w:hAnsi="仿宋" w:eastAsia="仿宋" w:cs="仿宋"/>
          <w:kern w:val="0"/>
          <w:sz w:val="24"/>
          <w:szCs w:val="24"/>
        </w:rPr>
        <w:t>天内提供有力证明。</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（二）因不可抗力不能履行合同的，根据不可抗力的影响，部分或者全部（由双方协商确定）免除责任，但法律另有规定的除外。当事人迟延履行后发生不可抗力的，不能免除责任。</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（三）因不可抗力使合同不能如期履行时，由双方协商确定是否延期履行或终止本合同。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第十二条 合同组成部分</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1、磋商文件；2、响应文件；3、与此项目相关的其他书面资料。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第十三条  争议的解决</w:t>
      </w:r>
    </w:p>
    <w:p>
      <w:pPr>
        <w:pStyle w:val="9"/>
        <w:spacing w:before="50" w:line="300" w:lineRule="auto"/>
        <w:ind w:firstLine="720" w:firstLineChars="300"/>
        <w:rPr>
          <w:rFonts w:ascii="仿宋" w:hAnsi="仿宋" w:eastAsia="仿宋" w:cs="仿宋"/>
          <w:sz w:val="24"/>
        </w:rPr>
      </w:pPr>
      <w:r>
        <w:rPr>
          <w:rFonts w:hint="eastAsia" w:ascii="仿宋" w:hAnsi="仿宋" w:eastAsia="仿宋" w:cs="仿宋"/>
          <w:sz w:val="24"/>
        </w:rPr>
        <w:t>双方对本合同产生争议的，由双方本着互利互惠的原则友好协商解决，协商解决不成的，可以向青岛市仲裁委员会申请仲裁；仲裁未果时，再向人民法院提起诉讼。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第十四条  合同生效及其它</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（一）本合同经双方法人代表或授权人签字并加盖公章后生效，至全部工程完工后经交工验收合格以及缺陷责任期满后失效。</w:t>
      </w:r>
    </w:p>
    <w:p>
      <w:pPr>
        <w:widowControl/>
        <w:spacing w:line="360" w:lineRule="auto"/>
        <w:ind w:firstLine="540" w:firstLineChars="225"/>
        <w:jc w:val="left"/>
        <w:rPr>
          <w:rFonts w:ascii="仿宋" w:hAnsi="仿宋" w:eastAsia="仿宋" w:cs="仿宋"/>
          <w:kern w:val="0"/>
          <w:sz w:val="24"/>
          <w:szCs w:val="24"/>
        </w:rPr>
      </w:pPr>
      <w:r>
        <w:rPr>
          <w:rFonts w:hint="eastAsia" w:ascii="仿宋" w:hAnsi="仿宋" w:eastAsia="仿宋" w:cs="仿宋"/>
          <w:kern w:val="0"/>
          <w:sz w:val="24"/>
          <w:szCs w:val="24"/>
        </w:rPr>
        <w:t>（二）本合同一式</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份，甲方执</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份，乙方执</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w:t>
      </w:r>
      <w:r>
        <w:rPr>
          <w:rFonts w:hint="eastAsia" w:ascii="仿宋" w:hAnsi="仿宋" w:eastAsia="仿宋" w:cs="仿宋"/>
          <w:kern w:val="0"/>
          <w:sz w:val="24"/>
          <w:szCs w:val="24"/>
          <w:lang w:eastAsia="zh-CN"/>
        </w:rPr>
        <w:t>，山东盛和招标代理公司</w:t>
      </w:r>
      <w:r>
        <w:rPr>
          <w:rFonts w:hint="eastAsia" w:ascii="仿宋" w:hAnsi="仿宋" w:eastAsia="仿宋" w:cs="仿宋"/>
          <w:kern w:val="0"/>
          <w:sz w:val="24"/>
          <w:szCs w:val="24"/>
        </w:rPr>
        <w:t>执</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份。其他未尽事宜，双方友好协商解决。</w:t>
      </w:r>
    </w:p>
    <w:p>
      <w:pPr>
        <w:widowControl/>
        <w:spacing w:line="360" w:lineRule="auto"/>
        <w:ind w:firstLine="540" w:firstLineChars="225"/>
        <w:jc w:val="left"/>
        <w:rPr>
          <w:rFonts w:ascii="仿宋" w:hAnsi="仿宋" w:eastAsia="仿宋" w:cs="仿宋"/>
          <w:kern w:val="0"/>
          <w:sz w:val="24"/>
          <w:szCs w:val="24"/>
        </w:rPr>
      </w:pPr>
      <w:r>
        <w:rPr>
          <w:rFonts w:hint="eastAsia" w:ascii="仿宋" w:hAnsi="仿宋" w:eastAsia="仿宋" w:cs="仿宋"/>
          <w:kern w:val="0"/>
          <w:sz w:val="24"/>
          <w:szCs w:val="24"/>
        </w:rPr>
        <w:t>（三）乙方开户银行：</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；账号：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widowControl/>
        <w:spacing w:line="360" w:lineRule="auto"/>
        <w:ind w:firstLine="1260" w:firstLineChars="525"/>
        <w:jc w:val="left"/>
        <w:rPr>
          <w:rFonts w:ascii="仿宋" w:hAnsi="仿宋" w:eastAsia="仿宋" w:cs="仿宋"/>
          <w:kern w:val="0"/>
          <w:sz w:val="24"/>
          <w:szCs w:val="24"/>
        </w:rPr>
      </w:pPr>
      <w:r>
        <w:rPr>
          <w:rFonts w:hint="eastAsia" w:ascii="仿宋" w:hAnsi="仿宋" w:eastAsia="仿宋" w:cs="仿宋"/>
          <w:kern w:val="0"/>
          <w:sz w:val="24"/>
          <w:szCs w:val="24"/>
        </w:rPr>
        <w:t>附件：响应报价</w:t>
      </w:r>
    </w:p>
    <w:p>
      <w:pPr>
        <w:widowControl/>
        <w:spacing w:line="360" w:lineRule="auto"/>
        <w:ind w:left="720" w:hanging="720" w:hangingChars="300"/>
        <w:jc w:val="left"/>
        <w:rPr>
          <w:rFonts w:ascii="仿宋" w:hAnsi="仿宋" w:eastAsia="仿宋" w:cs="仿宋"/>
          <w:kern w:val="0"/>
          <w:sz w:val="24"/>
          <w:szCs w:val="24"/>
        </w:rPr>
      </w:pPr>
    </w:p>
    <w:p>
      <w:pPr>
        <w:widowControl/>
        <w:spacing w:line="360" w:lineRule="auto"/>
        <w:ind w:left="720" w:hanging="720" w:hangingChars="300"/>
        <w:jc w:val="left"/>
        <w:rPr>
          <w:rFonts w:ascii="仿宋" w:hAnsi="仿宋" w:eastAsia="仿宋" w:cs="仿宋"/>
          <w:kern w:val="0"/>
          <w:sz w:val="24"/>
          <w:szCs w:val="24"/>
        </w:rPr>
      </w:pPr>
    </w:p>
    <w:p>
      <w:pPr>
        <w:widowControl/>
        <w:spacing w:line="360" w:lineRule="auto"/>
        <w:ind w:left="720" w:hanging="720" w:hangingChars="300"/>
        <w:jc w:val="left"/>
        <w:rPr>
          <w:rFonts w:ascii="仿宋" w:hAnsi="仿宋" w:eastAsia="仿宋" w:cs="仿宋"/>
          <w:kern w:val="0"/>
          <w:sz w:val="24"/>
          <w:szCs w:val="24"/>
        </w:rPr>
      </w:pPr>
      <w:r>
        <w:rPr>
          <w:rFonts w:hint="eastAsia" w:ascii="仿宋" w:hAnsi="仿宋" w:eastAsia="仿宋" w:cs="仿宋"/>
          <w:kern w:val="0"/>
          <w:sz w:val="24"/>
          <w:szCs w:val="24"/>
        </w:rPr>
        <w:t xml:space="preserve">   甲方：</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（签章）</w:t>
      </w:r>
    </w:p>
    <w:p>
      <w:pPr>
        <w:widowControl/>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法定代表人或授权人（签字）：</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widowControl/>
        <w:spacing w:line="360" w:lineRule="auto"/>
        <w:rPr>
          <w:rFonts w:ascii="仿宋" w:hAnsi="仿宋" w:eastAsia="仿宋" w:cs="仿宋"/>
          <w:kern w:val="0"/>
          <w:sz w:val="24"/>
          <w:szCs w:val="24"/>
          <w:u w:val="single"/>
        </w:rPr>
      </w:pPr>
      <w:r>
        <w:rPr>
          <w:rFonts w:hint="eastAsia" w:ascii="仿宋" w:hAnsi="仿宋" w:eastAsia="仿宋" w:cs="仿宋"/>
          <w:kern w:val="0"/>
          <w:sz w:val="24"/>
          <w:szCs w:val="24"/>
        </w:rPr>
        <w:t xml:space="preserve">   日       期：</w:t>
      </w:r>
      <w:r>
        <w:rPr>
          <w:rFonts w:hint="eastAsia" w:ascii="仿宋" w:hAnsi="仿宋" w:eastAsia="仿宋" w:cs="仿宋"/>
          <w:kern w:val="0"/>
          <w:sz w:val="24"/>
          <w:szCs w:val="24"/>
          <w:u w:val="single"/>
        </w:rPr>
        <w:t xml:space="preserve">                        </w:t>
      </w:r>
    </w:p>
    <w:p>
      <w:pPr>
        <w:widowControl/>
        <w:spacing w:line="360" w:lineRule="auto"/>
        <w:rPr>
          <w:rFonts w:ascii="仿宋" w:hAnsi="仿宋" w:eastAsia="仿宋" w:cs="仿宋"/>
          <w:kern w:val="0"/>
          <w:sz w:val="24"/>
          <w:szCs w:val="24"/>
          <w:u w:val="single"/>
        </w:rPr>
      </w:pPr>
    </w:p>
    <w:p>
      <w:pPr>
        <w:widowControl/>
        <w:spacing w:line="360" w:lineRule="auto"/>
        <w:rPr>
          <w:rFonts w:ascii="仿宋" w:hAnsi="仿宋" w:eastAsia="仿宋" w:cs="仿宋"/>
          <w:kern w:val="0"/>
          <w:sz w:val="24"/>
          <w:szCs w:val="24"/>
          <w:u w:val="single"/>
        </w:rPr>
      </w:pPr>
    </w:p>
    <w:p>
      <w:pPr>
        <w:widowControl/>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乙方：</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（签章）</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法定代表人或授权人（签字）：</w:t>
      </w:r>
      <w:r>
        <w:rPr>
          <w:rFonts w:hint="eastAsia" w:ascii="仿宋" w:hAnsi="仿宋" w:eastAsia="仿宋" w:cs="仿宋"/>
          <w:kern w:val="0"/>
          <w:sz w:val="24"/>
          <w:szCs w:val="24"/>
          <w:u w:val="single"/>
        </w:rPr>
        <w:t xml:space="preserve">             </w:t>
      </w:r>
    </w:p>
    <w:p>
      <w:pPr>
        <w:widowControl/>
        <w:spacing w:line="360" w:lineRule="auto"/>
        <w:jc w:val="left"/>
        <w:rPr>
          <w:rFonts w:ascii="仿宋" w:hAnsi="仿宋" w:eastAsia="仿宋" w:cs="仿宋"/>
          <w:kern w:val="0"/>
          <w:sz w:val="24"/>
          <w:szCs w:val="24"/>
          <w:u w:val="single"/>
        </w:rPr>
      </w:pPr>
      <w:r>
        <w:rPr>
          <w:rFonts w:hint="eastAsia" w:ascii="仿宋" w:hAnsi="仿宋" w:eastAsia="仿宋" w:cs="仿宋"/>
          <w:kern w:val="0"/>
          <w:sz w:val="24"/>
          <w:szCs w:val="24"/>
        </w:rPr>
        <w:t xml:space="preserve">   日       期：</w:t>
      </w:r>
      <w:r>
        <w:rPr>
          <w:rFonts w:hint="eastAsia" w:ascii="仿宋" w:hAnsi="仿宋" w:eastAsia="仿宋" w:cs="仿宋"/>
          <w:kern w:val="0"/>
          <w:sz w:val="24"/>
          <w:szCs w:val="24"/>
          <w:u w:val="single"/>
        </w:rPr>
        <w:t xml:space="preserve">                       </w:t>
      </w:r>
    </w:p>
    <w:p>
      <w:pPr>
        <w:pStyle w:val="2"/>
        <w:snapToGrid w:val="0"/>
        <w:spacing w:line="360" w:lineRule="auto"/>
        <w:rPr>
          <w:rFonts w:eastAsiaTheme="minorEastAsia"/>
          <w:b/>
          <w:sz w:val="32"/>
          <w:szCs w:val="32"/>
        </w:rPr>
      </w:pPr>
      <w:r>
        <w:rPr>
          <w:b/>
          <w:sz w:val="32"/>
          <w:szCs w:val="32"/>
        </w:rPr>
        <w:br w:type="page"/>
      </w:r>
    </w:p>
    <w:p/>
    <w:p>
      <w:pPr>
        <w:pStyle w:val="3"/>
        <w:spacing w:before="0" w:after="0" w:line="240" w:lineRule="auto"/>
        <w:jc w:val="center"/>
        <w:rPr>
          <w:rFonts w:ascii="仿宋" w:hAnsi="仿宋" w:eastAsia="仿宋"/>
        </w:rPr>
      </w:pPr>
      <w:bookmarkStart w:id="41" w:name="_Toc14418"/>
      <w:r>
        <w:rPr>
          <w:rFonts w:hint="eastAsia" w:ascii="仿宋" w:hAnsi="仿宋" w:eastAsia="仿宋"/>
        </w:rPr>
        <w:t>第四章   项目说明</w:t>
      </w:r>
      <w:bookmarkEnd w:id="40"/>
      <w:bookmarkEnd w:id="41"/>
    </w:p>
    <w:p>
      <w:pPr>
        <w:pStyle w:val="52"/>
        <w:keepNext w:val="0"/>
        <w:keepLines w:val="0"/>
        <w:pageBreakBefore w:val="0"/>
        <w:numPr>
          <w:ilvl w:val="0"/>
          <w:numId w:val="0"/>
        </w:numPr>
        <w:kinsoku/>
        <w:wordWrap/>
        <w:overflowPunct/>
        <w:topLinePunct w:val="0"/>
        <w:autoSpaceDE/>
        <w:autoSpaceDN/>
        <w:bidi w:val="0"/>
        <w:snapToGrid w:val="0"/>
        <w:spacing w:line="440" w:lineRule="exact"/>
        <w:ind w:leftChars="0" w:firstLine="480" w:firstLineChars="200"/>
        <w:rPr>
          <w:rFonts w:hint="eastAsia" w:ascii="仿宋" w:hAnsi="仿宋" w:eastAsia="仿宋" w:cs="仿宋"/>
          <w:sz w:val="24"/>
          <w:szCs w:val="24"/>
        </w:rPr>
      </w:pPr>
      <w:bookmarkStart w:id="42" w:name="_Toc535048517"/>
      <w:r>
        <w:rPr>
          <w:rFonts w:hint="eastAsia" w:ascii="仿宋" w:hAnsi="仿宋" w:eastAsia="仿宋" w:cs="仿宋"/>
          <w:sz w:val="24"/>
          <w:szCs w:val="24"/>
          <w:lang w:eastAsia="zh-CN"/>
        </w:rPr>
        <w:t>一、</w:t>
      </w:r>
      <w:r>
        <w:rPr>
          <w:rFonts w:hint="eastAsia" w:ascii="仿宋" w:hAnsi="仿宋" w:eastAsia="仿宋" w:cs="仿宋"/>
          <w:sz w:val="24"/>
          <w:szCs w:val="24"/>
        </w:rPr>
        <w:t>工程概况</w:t>
      </w:r>
    </w:p>
    <w:p>
      <w:pPr>
        <w:pStyle w:val="41"/>
        <w:keepNext w:val="0"/>
        <w:keepLines w:val="0"/>
        <w:pageBreakBefore w:val="0"/>
        <w:kinsoku/>
        <w:wordWrap/>
        <w:overflowPunct/>
        <w:topLinePunct w:val="0"/>
        <w:autoSpaceDE/>
        <w:autoSpaceDN/>
        <w:bidi w:val="0"/>
        <w:snapToGrid w:val="0"/>
        <w:spacing w:line="440" w:lineRule="exact"/>
        <w:ind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项目名称：</w:t>
      </w:r>
      <w:r>
        <w:rPr>
          <w:rFonts w:hint="eastAsia" w:ascii="仿宋" w:hAnsi="仿宋" w:eastAsia="仿宋" w:cs="仿宋"/>
          <w:sz w:val="24"/>
          <w:szCs w:val="24"/>
          <w:lang w:val="en-US" w:eastAsia="zh-CN"/>
        </w:rPr>
        <w:t>孵化环境改造升级工程</w:t>
      </w:r>
    </w:p>
    <w:p>
      <w:pPr>
        <w:pStyle w:val="41"/>
        <w:keepNext w:val="0"/>
        <w:keepLines w:val="0"/>
        <w:pageBreakBefore w:val="0"/>
        <w:kinsoku/>
        <w:wordWrap/>
        <w:overflowPunct/>
        <w:topLinePunct w:val="0"/>
        <w:autoSpaceDE/>
        <w:autoSpaceDN/>
        <w:bidi w:val="0"/>
        <w:snapToGrid w:val="0"/>
        <w:spacing w:line="440" w:lineRule="exact"/>
        <w:ind w:firstLine="560"/>
        <w:rPr>
          <w:rFonts w:hint="eastAsia" w:ascii="仿宋" w:hAnsi="仿宋" w:eastAsia="仿宋" w:cs="仿宋"/>
          <w:sz w:val="24"/>
          <w:szCs w:val="24"/>
          <w:lang w:val="en-US" w:eastAsia="zh-CN"/>
        </w:rPr>
      </w:pPr>
      <w:r>
        <w:rPr>
          <w:rFonts w:hint="eastAsia" w:ascii="仿宋" w:hAnsi="仿宋" w:eastAsia="仿宋" w:cs="仿宋"/>
          <w:sz w:val="24"/>
          <w:szCs w:val="24"/>
        </w:rPr>
        <w:t>2、项目地点：山东科技大学</w:t>
      </w:r>
      <w:r>
        <w:rPr>
          <w:rFonts w:hint="eastAsia" w:ascii="仿宋" w:hAnsi="仿宋" w:eastAsia="仿宋" w:cs="仿宋"/>
          <w:sz w:val="24"/>
          <w:szCs w:val="24"/>
          <w:lang w:eastAsia="zh-CN"/>
        </w:rPr>
        <w:t>产业园</w:t>
      </w:r>
    </w:p>
    <w:p>
      <w:pPr>
        <w:pStyle w:val="52"/>
        <w:keepNext w:val="0"/>
        <w:keepLines w:val="0"/>
        <w:pageBreakBefore w:val="0"/>
        <w:numPr>
          <w:ilvl w:val="0"/>
          <w:numId w:val="0"/>
        </w:numPr>
        <w:kinsoku/>
        <w:wordWrap/>
        <w:overflowPunct/>
        <w:topLinePunct w:val="0"/>
        <w:autoSpaceDE/>
        <w:autoSpaceDN/>
        <w:bidi w:val="0"/>
        <w:snapToGrid w:val="0"/>
        <w:spacing w:line="440" w:lineRule="exact"/>
        <w:ind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3、项目主要工程内容（简要）：</w:t>
      </w:r>
      <w:r>
        <w:rPr>
          <w:rFonts w:hint="eastAsia" w:ascii="仿宋" w:hAnsi="仿宋" w:eastAsia="仿宋" w:cs="仿宋"/>
          <w:sz w:val="24"/>
          <w:szCs w:val="24"/>
          <w:lang w:val="en-US" w:eastAsia="zh-CN"/>
        </w:rPr>
        <w:t>会场场地扩建、挡土墙砌筑、创新论坛平台场地基础搭建等</w:t>
      </w:r>
      <w:r>
        <w:rPr>
          <w:rFonts w:hint="eastAsia" w:ascii="仿宋" w:hAnsi="仿宋" w:eastAsia="仿宋" w:cs="仿宋"/>
          <w:sz w:val="24"/>
          <w:szCs w:val="24"/>
          <w:lang w:eastAsia="zh-CN"/>
        </w:rPr>
        <w:t>。</w:t>
      </w:r>
    </w:p>
    <w:p>
      <w:pPr>
        <w:pStyle w:val="52"/>
        <w:keepNext w:val="0"/>
        <w:keepLines w:val="0"/>
        <w:pageBreakBefore w:val="0"/>
        <w:numPr>
          <w:ilvl w:val="0"/>
          <w:numId w:val="0"/>
        </w:numPr>
        <w:kinsoku/>
        <w:wordWrap/>
        <w:overflowPunct/>
        <w:topLinePunct w:val="0"/>
        <w:autoSpaceDE/>
        <w:autoSpaceDN/>
        <w:bidi w:val="0"/>
        <w:snapToGrid w:val="0"/>
        <w:spacing w:line="440" w:lineRule="exact"/>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工程技术要求</w:t>
      </w:r>
    </w:p>
    <w:p>
      <w:pPr>
        <w:pStyle w:val="52"/>
        <w:keepNext w:val="0"/>
        <w:keepLines w:val="0"/>
        <w:pageBreakBefore w:val="0"/>
        <w:numPr>
          <w:ilvl w:val="1"/>
          <w:numId w:val="2"/>
        </w:numPr>
        <w:kinsoku/>
        <w:wordWrap/>
        <w:overflowPunct/>
        <w:topLinePunct w:val="0"/>
        <w:autoSpaceDE/>
        <w:autoSpaceDN/>
        <w:bidi w:val="0"/>
        <w:snapToGrid w:val="0"/>
        <w:spacing w:line="440" w:lineRule="exact"/>
        <w:ind w:left="851" w:hanging="431" w:firstLineChars="0"/>
        <w:rPr>
          <w:rFonts w:hint="eastAsia" w:ascii="仿宋" w:hAnsi="仿宋" w:eastAsia="仿宋" w:cs="仿宋"/>
          <w:sz w:val="24"/>
          <w:szCs w:val="24"/>
        </w:rPr>
      </w:pPr>
      <w:r>
        <w:rPr>
          <w:rFonts w:hint="eastAsia" w:ascii="仿宋" w:hAnsi="仿宋" w:eastAsia="仿宋" w:cs="仿宋"/>
          <w:sz w:val="24"/>
          <w:szCs w:val="24"/>
        </w:rPr>
        <w:t>施工方案及技术要求</w:t>
      </w:r>
    </w:p>
    <w:p>
      <w:pPr>
        <w:keepNext w:val="0"/>
        <w:keepLines w:val="0"/>
        <w:pageBreakBefore w:val="0"/>
        <w:numPr>
          <w:ilvl w:val="0"/>
          <w:numId w:val="0"/>
        </w:numPr>
        <w:kinsoku/>
        <w:wordWrap/>
        <w:overflowPunct/>
        <w:topLinePunct w:val="0"/>
        <w:autoSpaceDE/>
        <w:autoSpaceDN/>
        <w:bidi w:val="0"/>
        <w:spacing w:line="44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（1）产业园篮球场南侧及北侧、西侧基础土方开挖、场地整平。</w:t>
      </w:r>
    </w:p>
    <w:p>
      <w:pPr>
        <w:keepNext w:val="0"/>
        <w:keepLines w:val="0"/>
        <w:pageBreakBefore w:val="0"/>
        <w:numPr>
          <w:ilvl w:val="0"/>
          <w:numId w:val="0"/>
        </w:numPr>
        <w:kinsoku/>
        <w:wordWrap/>
        <w:overflowPunct/>
        <w:topLinePunct w:val="0"/>
        <w:autoSpaceDE/>
        <w:autoSpaceDN/>
        <w:bidi w:val="0"/>
        <w:spacing w:line="44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砌筑毛石挡土墙，建设看台。基槽铺设C20混凝土垫层10cm厚，毛石强度不得低于MU40，水泥砂浆采用M10。毛石要求无风化，无裂纹，中部最小厚度不小于200mm。严格按照挤浆法施工，保证砂浆饱满，砌体重量不低于22kN/m</w:t>
      </w:r>
      <w:r>
        <w:rPr>
          <w:rFonts w:hint="eastAsia" w:ascii="仿宋" w:hAnsi="仿宋" w:eastAsia="仿宋" w:cs="仿宋"/>
          <w:color w:val="auto"/>
          <w:sz w:val="24"/>
          <w:szCs w:val="24"/>
          <w:vertAlign w:val="superscript"/>
          <w:lang w:val="en-US" w:eastAsia="zh-CN"/>
        </w:rPr>
        <w:t>3</w:t>
      </w:r>
      <w:r>
        <w:rPr>
          <w:rFonts w:hint="eastAsia" w:ascii="仿宋" w:hAnsi="仿宋" w:eastAsia="仿宋" w:cs="仿宋"/>
          <w:color w:val="auto"/>
          <w:sz w:val="24"/>
          <w:szCs w:val="24"/>
          <w:lang w:val="en-US" w:eastAsia="zh-CN"/>
        </w:rPr>
        <w:t>。砌体不应出现垂直裂缝；避免通长的水平通缝。</w:t>
      </w:r>
    </w:p>
    <w:p>
      <w:pPr>
        <w:keepNext w:val="0"/>
        <w:keepLines w:val="0"/>
        <w:pageBreakBefore w:val="0"/>
        <w:numPr>
          <w:ilvl w:val="0"/>
          <w:numId w:val="0"/>
        </w:numPr>
        <w:kinsoku/>
        <w:wordWrap/>
        <w:overflowPunct/>
        <w:topLinePunct w:val="0"/>
        <w:autoSpaceDE/>
        <w:autoSpaceDN/>
        <w:bidi w:val="0"/>
        <w:spacing w:line="44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（3）土方回填夯实，余土外运，墙后填土注意分层夯实，回填土后内侧与现有篮球场标高一致，压实度与附近场地或路基的要求相同。</w:t>
      </w:r>
    </w:p>
    <w:p>
      <w:pPr>
        <w:keepNext w:val="0"/>
        <w:keepLines w:val="0"/>
        <w:pageBreakBefore w:val="0"/>
        <w:numPr>
          <w:ilvl w:val="0"/>
          <w:numId w:val="0"/>
        </w:numPr>
        <w:kinsoku/>
        <w:wordWrap/>
        <w:overflowPunct/>
        <w:topLinePunct w:val="0"/>
        <w:autoSpaceDE/>
        <w:autoSpaceDN/>
        <w:bidi w:val="0"/>
        <w:spacing w:line="44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（4）挡土墙墙顶用5cm厚细石混凝土压顶后水泥砂浆抹平（20mm厚），挡土墙每间隔3米现浇C30混凝土墩1个（500*500*500mm），挡土墙外露面用M10水泥砂浆勾皮带缝。</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240" w:firstLineChars="1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（5）西侧看台及主席台基础整形放坡，地坪基础夯实，边坡现浇C25钢筋混凝土10cm厚底板，钢筋网φ10双向@200。</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240" w:firstLineChars="1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看台采用MU10机制红砖砌筑，5cm厚混凝土压顶，内配钢筋网φ4双向@150，主席台采用级配砂石垫层15cm厚，20cm厚现浇C25混凝土地面。主席台及台阶平面及立面用3cm厚1:2.5干硬性水泥砂浆铺设3cm厚五莲花花岗岩板。</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2、挡土墙台阶做法另附图</w:t>
      </w:r>
      <w:r>
        <w:rPr>
          <w:rFonts w:hint="eastAsia" w:ascii="仿宋" w:hAnsi="仿宋" w:eastAsia="仿宋" w:cs="仿宋"/>
          <w:sz w:val="24"/>
          <w:szCs w:val="24"/>
          <w:lang w:eastAsia="zh-CN"/>
        </w:rPr>
        <w:t>。</w:t>
      </w:r>
    </w:p>
    <w:p>
      <w:pPr>
        <w:pStyle w:val="52"/>
        <w:keepNext w:val="0"/>
        <w:keepLines w:val="0"/>
        <w:pageBreakBefore w:val="0"/>
        <w:numPr>
          <w:ilvl w:val="0"/>
          <w:numId w:val="0"/>
        </w:numPr>
        <w:kinsoku/>
        <w:wordWrap/>
        <w:overflowPunct/>
        <w:topLinePunct w:val="0"/>
        <w:autoSpaceDE/>
        <w:autoSpaceDN/>
        <w:bidi w:val="0"/>
        <w:snapToGrid w:val="0"/>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总价据实结算。</w:t>
      </w:r>
    </w:p>
    <w:p>
      <w:pPr>
        <w:pStyle w:val="41"/>
        <w:keepNext w:val="0"/>
        <w:keepLines w:val="0"/>
        <w:pageBreakBefore w:val="0"/>
        <w:kinsoku/>
        <w:wordWrap/>
        <w:overflowPunct/>
        <w:topLinePunct w:val="0"/>
        <w:autoSpaceDE/>
        <w:autoSpaceDN/>
        <w:bidi w:val="0"/>
        <w:snapToGrid w:val="0"/>
        <w:spacing w:line="440" w:lineRule="exact"/>
        <w:ind w:firstLine="240" w:firstLineChars="100"/>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开标现场</w:t>
      </w:r>
      <w:r>
        <w:rPr>
          <w:rFonts w:hint="eastAsia" w:ascii="仿宋" w:hAnsi="仿宋" w:eastAsia="仿宋" w:cs="仿宋"/>
          <w:color w:val="auto"/>
          <w:sz w:val="24"/>
          <w:szCs w:val="24"/>
        </w:rPr>
        <w:t>需提供</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样品：</w:t>
      </w:r>
      <w:r>
        <w:rPr>
          <w:rFonts w:hint="eastAsia" w:ascii="仿宋" w:hAnsi="仿宋" w:eastAsia="仿宋" w:cs="仿宋"/>
          <w:color w:val="auto"/>
          <w:sz w:val="24"/>
          <w:szCs w:val="24"/>
          <w:lang w:eastAsia="zh-CN"/>
        </w:rPr>
        <w:t>五莲花花岗岩板。</w:t>
      </w:r>
    </w:p>
    <w:p>
      <w:pPr>
        <w:pStyle w:val="52"/>
        <w:keepNext w:val="0"/>
        <w:keepLines w:val="0"/>
        <w:pageBreakBefore w:val="0"/>
        <w:numPr>
          <w:ilvl w:val="0"/>
          <w:numId w:val="2"/>
        </w:numPr>
        <w:kinsoku/>
        <w:wordWrap/>
        <w:overflowPunct/>
        <w:topLinePunct w:val="0"/>
        <w:autoSpaceDE/>
        <w:autoSpaceDN/>
        <w:bidi w:val="0"/>
        <w:snapToGrid w:val="0"/>
        <w:spacing w:line="440" w:lineRule="exact"/>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工程量清单及报价表（</w:t>
      </w:r>
      <w:r>
        <w:rPr>
          <w:rFonts w:hint="eastAsia" w:ascii="仿宋" w:hAnsi="仿宋" w:eastAsia="仿宋" w:cs="仿宋"/>
          <w:color w:val="auto"/>
          <w:sz w:val="24"/>
          <w:szCs w:val="24"/>
          <w:lang w:eastAsia="zh-CN"/>
        </w:rPr>
        <w:t>含暂列金</w:t>
      </w:r>
      <w:r>
        <w:rPr>
          <w:rFonts w:hint="eastAsia" w:ascii="仿宋" w:hAnsi="仿宋" w:eastAsia="仿宋" w:cs="仿宋"/>
          <w:color w:val="auto"/>
          <w:sz w:val="24"/>
          <w:szCs w:val="24"/>
        </w:rPr>
        <w:t>）：</w:t>
      </w:r>
    </w:p>
    <w:tbl>
      <w:tblPr>
        <w:tblStyle w:val="20"/>
        <w:tblW w:w="5084" w:type="pct"/>
        <w:tblInd w:w="-155" w:type="dxa"/>
        <w:shd w:val="clear" w:color="auto" w:fill="auto"/>
        <w:tblLayout w:type="autofit"/>
        <w:tblCellMar>
          <w:top w:w="0" w:type="dxa"/>
          <w:left w:w="0" w:type="dxa"/>
          <w:bottom w:w="0" w:type="dxa"/>
          <w:right w:w="0" w:type="dxa"/>
        </w:tblCellMar>
      </w:tblPr>
      <w:tblGrid>
        <w:gridCol w:w="522"/>
        <w:gridCol w:w="4132"/>
        <w:gridCol w:w="1057"/>
        <w:gridCol w:w="909"/>
        <w:gridCol w:w="1164"/>
        <w:gridCol w:w="1262"/>
      </w:tblGrid>
      <w:tr>
        <w:tblPrEx>
          <w:shd w:val="clear" w:color="auto" w:fill="auto"/>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工程内容</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工程量</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单价(元）</w:t>
            </w: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金额（元）</w:t>
            </w:r>
          </w:p>
        </w:tc>
      </w:tr>
      <w:tr>
        <w:tblPrEx>
          <w:tblCellMar>
            <w:top w:w="0" w:type="dxa"/>
            <w:left w:w="0" w:type="dxa"/>
            <w:bottom w:w="0" w:type="dxa"/>
            <w:right w:w="0" w:type="dxa"/>
          </w:tblCellMar>
        </w:tblPrEx>
        <w:trPr>
          <w:trHeight w:val="549"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毛石挡土墙砌筑</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立方米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186.43</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毛石基础混凝土垫层</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立方米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20.58</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毛石基础土方开挖、墙背土方回填压实、余土外运、场地整平</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128.6</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挡土墙5cm厚C20细石混凝土压顶，水泥砂浆抹光</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128.6</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挡土墙勾皮带缝</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131.82</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主席台场地土方整平，地坪基础夯实；铺设级配砂石垫层15cm厚、20cm厚C25混凝土地面随打随抹平</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看台基础整形，边坡去土修整夯实；10cm厚C25现浇钢筋混凝土（φ10双向@200）</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145.8</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看台砖砌台阶</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立方米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26.73</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看台台阶5cm厚细石混凝土压顶内配（φ4双向@150）</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133.65</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主席台及台阶3cm厚1:2.5干硬性水泥砂浆铺设花岗岩板（3cm厚）</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268.17 </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PE管穿线管铺设（φ50）</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墙体预埋混凝土墩C30（500*500*500</w:t>
            </w:r>
            <w:r>
              <w:rPr>
                <w:rFonts w:hint="eastAsia" w:ascii="仿宋" w:hAnsi="仿宋" w:eastAsia="仿宋" w:cs="仿宋"/>
                <w:color w:val="auto"/>
                <w:sz w:val="24"/>
                <w:szCs w:val="24"/>
                <w:lang w:val="en-US" w:eastAsia="zh-CN"/>
              </w:rPr>
              <w:t>mm</w:t>
            </w:r>
            <w:r>
              <w:rPr>
                <w:rFonts w:hint="eastAsia" w:ascii="仿宋" w:hAnsi="仿宋" w:eastAsia="仿宋" w:cs="仿宋"/>
                <w:i w:val="0"/>
                <w:color w:val="000000"/>
                <w:kern w:val="0"/>
                <w:sz w:val="24"/>
                <w:szCs w:val="24"/>
                <w:u w:val="none"/>
                <w:lang w:val="en-US" w:eastAsia="zh-CN" w:bidi="ar"/>
              </w:rPr>
              <w:t>）</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2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2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暂列金</w:t>
            </w:r>
          </w:p>
        </w:tc>
        <w:tc>
          <w:tcPr>
            <w:tcW w:w="5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40" w:lineRule="exact"/>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项</w:t>
            </w:r>
          </w:p>
        </w:tc>
        <w:tc>
          <w:tcPr>
            <w:tcW w:w="50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40" w:lineRule="exact"/>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6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40" w:lineRule="exact"/>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20000</w:t>
            </w:r>
          </w:p>
        </w:tc>
        <w:tc>
          <w:tcPr>
            <w:tcW w:w="69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40" w:lineRule="exact"/>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 xml:space="preserve">20000.00 </w:t>
            </w:r>
          </w:p>
        </w:tc>
      </w:tr>
      <w:tr>
        <w:tblPrEx>
          <w:tblCellMar>
            <w:top w:w="0" w:type="dxa"/>
            <w:left w:w="0" w:type="dxa"/>
            <w:bottom w:w="0" w:type="dxa"/>
            <w:right w:w="0" w:type="dxa"/>
          </w:tblCellMar>
        </w:tblPrEx>
        <w:trPr>
          <w:trHeight w:val="500" w:hRule="atLeast"/>
        </w:trPr>
        <w:tc>
          <w:tcPr>
            <w:tcW w:w="28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    计：</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40" w:lineRule="exact"/>
              <w:rPr>
                <w:rFonts w:hint="eastAsia" w:ascii="仿宋" w:hAnsi="仿宋" w:eastAsia="仿宋" w:cs="仿宋"/>
                <w:i w:val="0"/>
                <w:color w:val="000000"/>
                <w:sz w:val="24"/>
                <w:szCs w:val="24"/>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bl>
    <w:p>
      <w:pPr>
        <w:keepNext w:val="0"/>
        <w:keepLines w:val="0"/>
        <w:pageBreakBefore w:val="0"/>
        <w:kinsoku/>
        <w:wordWrap/>
        <w:overflowPunct/>
        <w:topLinePunct w:val="0"/>
        <w:autoSpaceDE/>
        <w:autoSpaceDN/>
        <w:bidi w:val="0"/>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rPr>
        <w:t>注：报价表中所有报价均为含税报价，综合单价为工程验收合格结算价，包括材料费、人工费、管理费、税金等所有施工结算中发生的各种费用。</w:t>
      </w:r>
    </w:p>
    <w:p>
      <w:pPr>
        <w:keepNext w:val="0"/>
        <w:keepLines w:val="0"/>
        <w:pageBreakBefore w:val="0"/>
        <w:widowControl/>
        <w:kinsoku/>
        <w:wordWrap/>
        <w:overflowPunct/>
        <w:topLinePunct w:val="0"/>
        <w:autoSpaceDE/>
        <w:autoSpaceDN/>
        <w:bidi w:val="0"/>
        <w:spacing w:line="440" w:lineRule="exact"/>
        <w:jc w:val="center"/>
        <w:rPr>
          <w:rFonts w:hint="eastAsia" w:ascii="仿宋" w:hAnsi="仿宋" w:eastAsia="仿宋" w:cs="仿宋"/>
          <w:b/>
          <w:sz w:val="24"/>
          <w:szCs w:val="24"/>
        </w:rPr>
      </w:pPr>
    </w:p>
    <w:p>
      <w:pPr>
        <w:pStyle w:val="41"/>
        <w:snapToGrid w:val="0"/>
        <w:spacing w:line="360" w:lineRule="auto"/>
        <w:ind w:firstLine="0"/>
        <w:rPr>
          <w:rFonts w:ascii="仿宋" w:hAnsi="仿宋" w:eastAsia="仿宋" w:cs="仿宋"/>
          <w:sz w:val="24"/>
          <w:szCs w:val="24"/>
        </w:rPr>
      </w:pPr>
    </w:p>
    <w:p>
      <w:pPr>
        <w:rPr>
          <w:rFonts w:ascii="仿宋" w:hAnsi="仿宋" w:eastAsia="仿宋" w:cs="仿宋"/>
          <w:sz w:val="24"/>
          <w:szCs w:val="24"/>
        </w:rPr>
      </w:pPr>
    </w:p>
    <w:p>
      <w:pPr>
        <w:pStyle w:val="3"/>
        <w:pageBreakBefore/>
        <w:jc w:val="center"/>
        <w:rPr>
          <w:rFonts w:ascii="仿宋" w:hAnsi="仿宋" w:eastAsia="仿宋" w:cs="仿宋"/>
          <w:b w:val="0"/>
        </w:rPr>
      </w:pPr>
      <w:bookmarkStart w:id="43" w:name="_Toc6472"/>
      <w:r>
        <w:rPr>
          <w:rFonts w:hint="eastAsia" w:ascii="仿宋" w:hAnsi="仿宋" w:eastAsia="仿宋" w:cs="仿宋"/>
          <w:b w:val="0"/>
        </w:rPr>
        <w:t>第五章   响应文件格式</w:t>
      </w:r>
      <w:bookmarkEnd w:id="42"/>
      <w:bookmarkEnd w:id="43"/>
    </w:p>
    <w:p>
      <w:pPr>
        <w:pStyle w:val="4"/>
        <w:jc w:val="center"/>
        <w:rPr>
          <w:rFonts w:ascii="仿宋" w:hAnsi="仿宋" w:eastAsia="仿宋" w:cs="仿宋"/>
          <w:b w:val="0"/>
        </w:rPr>
      </w:pPr>
      <w:bookmarkStart w:id="44" w:name="_Toc535048518"/>
      <w:bookmarkStart w:id="45" w:name="_Toc14436"/>
      <w:r>
        <w:rPr>
          <w:rFonts w:hint="eastAsia" w:ascii="仿宋" w:hAnsi="仿宋" w:eastAsia="仿宋" w:cs="仿宋"/>
          <w:b w:val="0"/>
        </w:rPr>
        <w:t>第一部分 响应函部分格式</w:t>
      </w:r>
      <w:bookmarkEnd w:id="44"/>
      <w:bookmarkEnd w:id="45"/>
    </w:p>
    <w:p>
      <w:pPr>
        <w:spacing w:line="360" w:lineRule="auto"/>
        <w:jc w:val="center"/>
        <w:rPr>
          <w:rFonts w:ascii="仿宋" w:hAnsi="仿宋" w:eastAsia="仿宋" w:cs="仿宋"/>
        </w:rPr>
      </w:pPr>
      <w:r>
        <w:rPr>
          <w:rFonts w:hint="eastAsia" w:ascii="仿宋" w:hAnsi="仿宋" w:eastAsia="仿宋" w:cs="仿宋"/>
          <w:bCs/>
          <w:sz w:val="24"/>
          <w:szCs w:val="24"/>
        </w:rPr>
        <w:t>一、授权委托书</w:t>
      </w:r>
    </w:p>
    <w:p>
      <w:pPr>
        <w:spacing w:line="360" w:lineRule="auto"/>
        <w:ind w:firstLine="480"/>
        <w:rPr>
          <w:rFonts w:ascii="仿宋" w:hAnsi="仿宋" w:eastAsia="仿宋" w:cs="仿宋"/>
        </w:rPr>
      </w:pPr>
      <w:r>
        <w:rPr>
          <w:rFonts w:hint="eastAsia" w:ascii="仿宋" w:hAnsi="仿宋" w:eastAsia="仿宋" w:cs="仿宋"/>
          <w:sz w:val="24"/>
          <w:szCs w:val="24"/>
        </w:rPr>
        <w:t xml:space="preserve">本授权委托书声明：我 </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为我公司签署工程的响应文件的法定代表人授权委托代理人，我承认代理人全权代表我所签署的本工程的响应文件的内容。</w:t>
      </w:r>
    </w:p>
    <w:p>
      <w:pPr>
        <w:spacing w:line="360" w:lineRule="auto"/>
        <w:ind w:firstLine="480"/>
        <w:rPr>
          <w:rFonts w:ascii="仿宋" w:hAnsi="仿宋" w:eastAsia="仿宋" w:cs="仿宋"/>
        </w:rPr>
      </w:pPr>
      <w:r>
        <w:rPr>
          <w:rFonts w:hint="eastAsia" w:ascii="仿宋" w:hAnsi="仿宋" w:eastAsia="仿宋" w:cs="仿宋"/>
          <w:sz w:val="24"/>
          <w:szCs w:val="24"/>
        </w:rPr>
        <w:t>代理人无转委托权，特此委托。</w:t>
      </w:r>
    </w:p>
    <w:tbl>
      <w:tblPr>
        <w:tblStyle w:val="20"/>
        <w:tblW w:w="6716" w:type="dxa"/>
        <w:jc w:val="center"/>
        <w:tblLayout w:type="fixed"/>
        <w:tblCellMar>
          <w:top w:w="0" w:type="dxa"/>
          <w:left w:w="108" w:type="dxa"/>
          <w:bottom w:w="0" w:type="dxa"/>
          <w:right w:w="108" w:type="dxa"/>
        </w:tblCellMar>
      </w:tblPr>
      <w:tblGrid>
        <w:gridCol w:w="6716"/>
      </w:tblGrid>
      <w:tr>
        <w:tblPrEx>
          <w:tblCellMar>
            <w:top w:w="0" w:type="dxa"/>
            <w:left w:w="108" w:type="dxa"/>
            <w:bottom w:w="0" w:type="dxa"/>
            <w:right w:w="108" w:type="dxa"/>
          </w:tblCellMar>
        </w:tblPrEx>
        <w:trPr>
          <w:trHeight w:val="3837" w:hRule="atLeast"/>
          <w:jc w:val="center"/>
        </w:trPr>
        <w:tc>
          <w:tcPr>
            <w:tcW w:w="67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授权委托人的身份证明</w:t>
            </w:r>
          </w:p>
          <w:p>
            <w:pPr>
              <w:spacing w:line="360" w:lineRule="auto"/>
              <w:jc w:val="center"/>
              <w:rPr>
                <w:rFonts w:ascii="仿宋" w:hAnsi="仿宋" w:eastAsia="仿宋" w:cs="仿宋"/>
              </w:rPr>
            </w:pPr>
            <w:r>
              <w:rPr>
                <w:rFonts w:hint="eastAsia" w:ascii="仿宋" w:hAnsi="仿宋" w:eastAsia="仿宋" w:cs="仿宋"/>
                <w:sz w:val="24"/>
                <w:szCs w:val="24"/>
              </w:rPr>
              <w:t>（粘贴处）</w:t>
            </w:r>
          </w:p>
        </w:tc>
      </w:tr>
    </w:tbl>
    <w:p>
      <w:pPr>
        <w:spacing w:line="360" w:lineRule="auto"/>
        <w:ind w:firstLine="1200" w:firstLineChars="500"/>
        <w:rPr>
          <w:rFonts w:ascii="仿宋" w:hAnsi="仿宋" w:eastAsia="仿宋" w:cs="仿宋"/>
        </w:rPr>
      </w:pPr>
      <w:r>
        <w:rPr>
          <w:rFonts w:hint="eastAsia" w:ascii="仿宋" w:hAnsi="仿宋" w:eastAsia="仿宋" w:cs="仿宋"/>
          <w:sz w:val="24"/>
          <w:szCs w:val="24"/>
        </w:rPr>
        <w:t>代理人：性别： 年龄：</w:t>
      </w:r>
    </w:p>
    <w:p>
      <w:pPr>
        <w:spacing w:line="360" w:lineRule="auto"/>
        <w:rPr>
          <w:rFonts w:ascii="仿宋" w:hAnsi="仿宋" w:eastAsia="仿宋" w:cs="仿宋"/>
        </w:rPr>
      </w:pPr>
      <w:r>
        <w:rPr>
          <w:rFonts w:hint="eastAsia" w:ascii="仿宋" w:hAnsi="仿宋" w:eastAsia="仿宋" w:cs="仿宋"/>
          <w:sz w:val="24"/>
          <w:szCs w:val="24"/>
        </w:rPr>
        <w:t xml:space="preserve">          身份证号码：职务：</w:t>
      </w:r>
    </w:p>
    <w:p>
      <w:pPr>
        <w:spacing w:line="360" w:lineRule="auto"/>
        <w:ind w:firstLine="1200" w:firstLineChars="500"/>
        <w:rPr>
          <w:rFonts w:ascii="仿宋" w:hAnsi="仿宋" w:eastAsia="仿宋" w:cs="仿宋"/>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（盖章）</w:t>
      </w:r>
    </w:p>
    <w:p>
      <w:pPr>
        <w:tabs>
          <w:tab w:val="center" w:pos="4153"/>
        </w:tabs>
        <w:spacing w:line="360" w:lineRule="auto"/>
        <w:ind w:firstLine="1200" w:firstLineChars="500"/>
        <w:rPr>
          <w:rFonts w:ascii="仿宋" w:hAnsi="仿宋" w:eastAsia="仿宋" w:cs="仿宋"/>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（签字或盖章）           </w:t>
      </w:r>
    </w:p>
    <w:p>
      <w:pPr>
        <w:spacing w:line="360" w:lineRule="auto"/>
        <w:ind w:firstLine="1200" w:firstLineChars="500"/>
        <w:rPr>
          <w:rFonts w:ascii="仿宋" w:hAnsi="仿宋" w:eastAsia="仿宋" w:cs="仿宋"/>
        </w:rPr>
      </w:pPr>
      <w:r>
        <w:rPr>
          <w:rFonts w:hint="eastAsia" w:ascii="仿宋" w:hAnsi="仿宋" w:eastAsia="仿宋" w:cs="仿宋"/>
          <w:sz w:val="24"/>
          <w:szCs w:val="24"/>
        </w:rPr>
        <w:t>授权委托日期：年 月日</w:t>
      </w:r>
    </w:p>
    <w:p>
      <w:pPr>
        <w:pageBreakBefore/>
        <w:spacing w:line="360" w:lineRule="auto"/>
        <w:jc w:val="center"/>
        <w:rPr>
          <w:rFonts w:ascii="仿宋" w:hAnsi="仿宋" w:eastAsia="仿宋" w:cs="仿宋"/>
          <w:szCs w:val="28"/>
        </w:rPr>
      </w:pPr>
      <w:r>
        <w:rPr>
          <w:rFonts w:hint="eastAsia" w:ascii="仿宋" w:hAnsi="仿宋" w:eastAsia="仿宋" w:cs="仿宋"/>
          <w:bCs/>
          <w:szCs w:val="28"/>
        </w:rPr>
        <w:t>二、 响 应 函</w:t>
      </w:r>
    </w:p>
    <w:p>
      <w:pPr>
        <w:snapToGrid w:val="0"/>
        <w:spacing w:line="360" w:lineRule="auto"/>
        <w:rPr>
          <w:rFonts w:ascii="仿宋" w:hAnsi="仿宋" w:eastAsia="仿宋" w:cs="仿宋"/>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auto"/>
        <w:rPr>
          <w:rFonts w:ascii="仿宋" w:hAnsi="仿宋" w:eastAsia="仿宋" w:cs="仿宋"/>
        </w:rPr>
      </w:pPr>
      <w:r>
        <w:rPr>
          <w:rFonts w:hint="eastAsia" w:ascii="仿宋" w:hAnsi="仿宋" w:eastAsia="仿宋" w:cs="仿宋"/>
          <w:sz w:val="24"/>
          <w:szCs w:val="24"/>
        </w:rPr>
        <w:t>根据已收到的贵方工程的磋商文件，我方经考察现场和仔细研究磋商文件的全部内容，已完全理解并全部接受磋商文件的所有要求，并考虑到了潜在所有风险。据此，我们愿以人民币详见下表的响应报价，按合同条款、技术要求及规范等要求承包上述工程的施工、竣工并承担保修责任。</w:t>
      </w:r>
    </w:p>
    <w:p>
      <w:pPr>
        <w:snapToGrid w:val="0"/>
        <w:spacing w:line="360" w:lineRule="auto"/>
        <w:ind w:firstLine="480"/>
        <w:rPr>
          <w:rFonts w:ascii="仿宋" w:hAnsi="仿宋" w:eastAsia="仿宋" w:cs="仿宋"/>
        </w:rPr>
      </w:pPr>
      <w:r>
        <w:rPr>
          <w:rFonts w:hint="eastAsia" w:ascii="仿宋" w:hAnsi="仿宋" w:eastAsia="仿宋" w:cs="仿宋"/>
          <w:sz w:val="24"/>
          <w:szCs w:val="24"/>
        </w:rPr>
        <w:t>1、一旦我方成交，我方保证在在收到开工通知书后，按要求的时间开工。</w:t>
      </w:r>
    </w:p>
    <w:p>
      <w:pPr>
        <w:snapToGrid w:val="0"/>
        <w:spacing w:line="360" w:lineRule="auto"/>
        <w:ind w:firstLine="480"/>
        <w:rPr>
          <w:rFonts w:ascii="仿宋" w:hAnsi="仿宋" w:eastAsia="仿宋" w:cs="仿宋"/>
        </w:rPr>
      </w:pPr>
      <w:r>
        <w:rPr>
          <w:rFonts w:hint="eastAsia" w:ascii="仿宋" w:hAnsi="仿宋" w:eastAsia="仿宋" w:cs="仿宋"/>
          <w:sz w:val="24"/>
          <w:szCs w:val="24"/>
        </w:rPr>
        <w:t>2、我方同意磋商文件对响应有效期的规定。在响应有效期以前的任何时间，本响应书一直对我方具有约束力，并可随时被接受成交。</w:t>
      </w:r>
    </w:p>
    <w:p>
      <w:pPr>
        <w:snapToGrid w:val="0"/>
        <w:spacing w:line="360" w:lineRule="auto"/>
        <w:ind w:firstLine="480"/>
        <w:rPr>
          <w:rFonts w:ascii="仿宋" w:hAnsi="仿宋" w:eastAsia="仿宋" w:cs="仿宋"/>
        </w:rPr>
      </w:pPr>
      <w:r>
        <w:rPr>
          <w:rFonts w:hint="eastAsia" w:ascii="仿宋" w:hAnsi="仿宋" w:eastAsia="仿宋" w:cs="仿宋"/>
          <w:sz w:val="24"/>
          <w:szCs w:val="24"/>
        </w:rPr>
        <w:t>3、在制定和签署一份正式协议书之前，本响应函连同贵方的书面成交通知，将构成约束贵我双方的合同。</w:t>
      </w:r>
    </w:p>
    <w:p>
      <w:pPr>
        <w:snapToGrid w:val="0"/>
        <w:spacing w:line="360" w:lineRule="auto"/>
        <w:ind w:firstLine="480"/>
        <w:rPr>
          <w:rFonts w:ascii="仿宋" w:hAnsi="仿宋" w:eastAsia="仿宋" w:cs="仿宋"/>
        </w:rPr>
      </w:pPr>
      <w:r>
        <w:rPr>
          <w:rFonts w:hint="eastAsia" w:ascii="仿宋" w:hAnsi="仿宋" w:eastAsia="仿宋" w:cs="仿宋"/>
          <w:sz w:val="24"/>
          <w:szCs w:val="24"/>
        </w:rPr>
        <w:t>4、我方也理解，不论成交与否，贵方不承担我方的任何响应费用。</w:t>
      </w:r>
    </w:p>
    <w:p>
      <w:pPr>
        <w:snapToGrid w:val="0"/>
        <w:spacing w:line="360" w:lineRule="auto"/>
        <w:ind w:firstLine="482"/>
        <w:rPr>
          <w:rFonts w:ascii="仿宋" w:hAnsi="仿宋" w:eastAsia="仿宋" w:cs="仿宋"/>
        </w:rPr>
      </w:pPr>
      <w:r>
        <w:rPr>
          <w:rFonts w:hint="eastAsia" w:ascii="仿宋" w:hAnsi="仿宋" w:eastAsia="仿宋" w:cs="仿宋"/>
          <w:sz w:val="24"/>
          <w:szCs w:val="24"/>
        </w:rPr>
        <w:t>供应商（盖章）：                   法定代表人（签字）：</w:t>
      </w:r>
    </w:p>
    <w:p>
      <w:pPr>
        <w:wordWrap w:val="0"/>
        <w:snapToGrid w:val="0"/>
        <w:spacing w:line="360" w:lineRule="auto"/>
        <w:ind w:firstLine="482"/>
        <w:jc w:val="right"/>
        <w:rPr>
          <w:rFonts w:ascii="仿宋" w:hAnsi="仿宋" w:eastAsia="仿宋" w:cs="仿宋"/>
        </w:rPr>
      </w:pPr>
      <w:r>
        <w:rPr>
          <w:rFonts w:hint="eastAsia" w:ascii="仿宋" w:hAnsi="仿宋" w:eastAsia="仿宋" w:cs="仿宋"/>
          <w:sz w:val="24"/>
          <w:szCs w:val="24"/>
        </w:rPr>
        <w:t>日期：      年  月  日</w:t>
      </w:r>
    </w:p>
    <w:p>
      <w:pPr>
        <w:pageBreakBefore/>
        <w:spacing w:line="360" w:lineRule="auto"/>
        <w:ind w:firstLine="480"/>
        <w:rPr>
          <w:rFonts w:ascii="仿宋" w:hAnsi="仿宋" w:eastAsia="仿宋" w:cs="仿宋"/>
          <w:sz w:val="24"/>
          <w:szCs w:val="24"/>
        </w:rPr>
      </w:pPr>
    </w:p>
    <w:p>
      <w:pPr>
        <w:spacing w:line="360" w:lineRule="auto"/>
        <w:jc w:val="center"/>
        <w:rPr>
          <w:rFonts w:ascii="仿宋" w:hAnsi="仿宋" w:eastAsia="仿宋" w:cs="仿宋"/>
        </w:rPr>
      </w:pPr>
      <w:r>
        <w:rPr>
          <w:rFonts w:hint="eastAsia" w:ascii="仿宋" w:hAnsi="仿宋" w:eastAsia="仿宋" w:cs="仿宋"/>
          <w:sz w:val="24"/>
          <w:szCs w:val="24"/>
        </w:rPr>
        <w:t>三、报价一览表</w:t>
      </w:r>
    </w:p>
    <w:tbl>
      <w:tblPr>
        <w:tblStyle w:val="20"/>
        <w:tblW w:w="8709" w:type="dxa"/>
        <w:jc w:val="center"/>
        <w:tblLayout w:type="fixed"/>
        <w:tblCellMar>
          <w:top w:w="0" w:type="dxa"/>
          <w:left w:w="108" w:type="dxa"/>
          <w:bottom w:w="0" w:type="dxa"/>
          <w:right w:w="108" w:type="dxa"/>
        </w:tblCellMar>
      </w:tblPr>
      <w:tblGrid>
        <w:gridCol w:w="1940"/>
        <w:gridCol w:w="1197"/>
        <w:gridCol w:w="1737"/>
        <w:gridCol w:w="1396"/>
        <w:gridCol w:w="2439"/>
      </w:tblGrid>
      <w:tr>
        <w:tblPrEx>
          <w:tblCellMar>
            <w:top w:w="0" w:type="dxa"/>
            <w:left w:w="108" w:type="dxa"/>
            <w:bottom w:w="0" w:type="dxa"/>
            <w:right w:w="108" w:type="dxa"/>
          </w:tblCellMar>
        </w:tblPrEx>
        <w:trPr>
          <w:trHeight w:val="669"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项目名称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项目编号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包号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8"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供应商名称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响应总报价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 xml:space="preserve">大写：            </w:t>
            </w:r>
          </w:p>
          <w:p>
            <w:pPr>
              <w:spacing w:line="360" w:lineRule="auto"/>
              <w:rPr>
                <w:rFonts w:ascii="仿宋" w:hAnsi="仿宋" w:eastAsia="仿宋" w:cs="仿宋"/>
              </w:rPr>
            </w:pPr>
            <w:r>
              <w:rPr>
                <w:rFonts w:hint="eastAsia" w:ascii="仿宋" w:hAnsi="仿宋" w:eastAsia="仿宋" w:cs="仿宋"/>
                <w:sz w:val="24"/>
                <w:szCs w:val="24"/>
              </w:rPr>
              <w:t>小写：             元</w:t>
            </w:r>
          </w:p>
        </w:tc>
      </w:tr>
      <w:tr>
        <w:tblPrEx>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工程保修期</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724"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ind w:left="178" w:hanging="178"/>
              <w:jc w:val="center"/>
              <w:rPr>
                <w:rFonts w:ascii="仿宋" w:hAnsi="仿宋" w:eastAsia="仿宋" w:cs="仿宋"/>
              </w:rPr>
            </w:pPr>
            <w:r>
              <w:rPr>
                <w:rFonts w:hint="eastAsia" w:ascii="仿宋" w:hAnsi="仿宋" w:eastAsia="仿宋" w:cs="仿宋"/>
                <w:sz w:val="24"/>
                <w:szCs w:val="24"/>
              </w:rPr>
              <w:t>质量标准</w:t>
            </w:r>
          </w:p>
        </w:tc>
        <w:tc>
          <w:tcPr>
            <w:tcW w:w="2934" w:type="dxa"/>
            <w:gridSpan w:val="2"/>
            <w:tcBorders>
              <w:top w:val="single" w:color="000000" w:sz="4" w:space="0"/>
              <w:left w:val="single" w:color="000000" w:sz="4" w:space="0"/>
              <w:bottom w:val="single" w:color="000000" w:sz="4" w:space="0"/>
            </w:tcBorders>
            <w:vAlign w:val="center"/>
          </w:tcPr>
          <w:p>
            <w:pPr>
              <w:snapToGrid w:val="0"/>
              <w:spacing w:line="360" w:lineRule="auto"/>
              <w:jc w:val="center"/>
              <w:rPr>
                <w:rFonts w:ascii="仿宋" w:hAnsi="仿宋" w:eastAsia="仿宋" w:cs="仿宋"/>
                <w:sz w:val="24"/>
                <w:szCs w:val="24"/>
              </w:rPr>
            </w:pPr>
          </w:p>
        </w:tc>
        <w:tc>
          <w:tcPr>
            <w:tcW w:w="1396"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承诺工期</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共  个日历日</w:t>
            </w:r>
          </w:p>
        </w:tc>
      </w:tr>
      <w:tr>
        <w:tblPrEx>
          <w:tblCellMar>
            <w:top w:w="0" w:type="dxa"/>
            <w:left w:w="108" w:type="dxa"/>
            <w:bottom w:w="0" w:type="dxa"/>
            <w:right w:w="108" w:type="dxa"/>
          </w:tblCellMar>
        </w:tblPrEx>
        <w:trPr>
          <w:trHeight w:val="8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对磋商文件</w:t>
            </w:r>
          </w:p>
          <w:p>
            <w:pPr>
              <w:spacing w:line="360" w:lineRule="auto"/>
              <w:jc w:val="center"/>
              <w:rPr>
                <w:rFonts w:ascii="仿宋" w:hAnsi="仿宋" w:eastAsia="仿宋" w:cs="仿宋"/>
              </w:rPr>
            </w:pPr>
            <w:r>
              <w:rPr>
                <w:rFonts w:hint="eastAsia" w:ascii="仿宋" w:hAnsi="仿宋" w:eastAsia="仿宋" w:cs="仿宋"/>
                <w:sz w:val="24"/>
                <w:szCs w:val="24"/>
              </w:rPr>
              <w:t>的认同程度</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869" w:hRule="atLeast"/>
          <w:jc w:val="center"/>
        </w:trPr>
        <w:tc>
          <w:tcPr>
            <w:tcW w:w="3137" w:type="dxa"/>
            <w:gridSpan w:val="2"/>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法定代表人或委托代理人确认（签字）</w:t>
            </w:r>
          </w:p>
        </w:tc>
        <w:tc>
          <w:tcPr>
            <w:tcW w:w="55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cantSplit/>
          <w:trHeight w:val="555" w:hRule="atLeast"/>
          <w:jc w:val="center"/>
        </w:trPr>
        <w:tc>
          <w:tcPr>
            <w:tcW w:w="8709"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4"/>
                <w:szCs w:val="24"/>
              </w:rPr>
              <w:t>注：本报价一览表除含在响应文件中，另外必须单独密封一份，用以公开报价。</w:t>
            </w:r>
          </w:p>
        </w:tc>
      </w:tr>
    </w:tbl>
    <w:p>
      <w:pPr>
        <w:spacing w:line="360" w:lineRule="auto"/>
        <w:rPr>
          <w:rFonts w:ascii="仿宋" w:hAnsi="仿宋" w:eastAsia="仿宋" w:cs="仿宋"/>
          <w:bCs/>
          <w:sz w:val="24"/>
          <w:szCs w:val="24"/>
        </w:rPr>
      </w:pPr>
    </w:p>
    <w:p>
      <w:pPr>
        <w:spacing w:line="360" w:lineRule="auto"/>
        <w:ind w:firstLine="410"/>
        <w:rPr>
          <w:rFonts w:ascii="仿宋" w:hAnsi="仿宋" w:eastAsia="仿宋" w:cs="仿宋"/>
        </w:rPr>
      </w:pPr>
      <w:r>
        <w:rPr>
          <w:rFonts w:hint="eastAsia" w:ascii="仿宋" w:hAnsi="仿宋" w:eastAsia="仿宋" w:cs="仿宋"/>
          <w:sz w:val="24"/>
          <w:szCs w:val="24"/>
        </w:rPr>
        <w:t xml:space="preserve">供应商（盖章）   </w:t>
      </w:r>
    </w:p>
    <w:p>
      <w:pPr>
        <w:spacing w:line="360" w:lineRule="auto"/>
        <w:ind w:firstLine="410"/>
        <w:rPr>
          <w:rFonts w:ascii="仿宋" w:hAnsi="仿宋" w:eastAsia="仿宋" w:cs="仿宋"/>
        </w:rPr>
      </w:pPr>
      <w:r>
        <w:rPr>
          <w:rFonts w:hint="eastAsia" w:ascii="仿宋" w:hAnsi="仿宋" w:eastAsia="仿宋" w:cs="仿宋"/>
          <w:sz w:val="24"/>
          <w:szCs w:val="24"/>
        </w:rPr>
        <w:t>法定代表人或委托代理人：（签字或盖章）</w:t>
      </w:r>
    </w:p>
    <w:p>
      <w:pPr>
        <w:spacing w:line="360" w:lineRule="auto"/>
        <w:ind w:firstLine="352"/>
        <w:rPr>
          <w:rFonts w:ascii="仿宋" w:hAnsi="仿宋" w:eastAsia="仿宋" w:cs="仿宋"/>
        </w:rPr>
      </w:pP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pPr>
    </w:p>
    <w:p>
      <w:pPr>
        <w:pStyle w:val="4"/>
        <w:jc w:val="center"/>
        <w:rPr>
          <w:rFonts w:ascii="仿宋" w:hAnsi="仿宋" w:eastAsia="仿宋" w:cs="仿宋"/>
          <w:b w:val="0"/>
        </w:rPr>
      </w:pPr>
      <w:r>
        <w:rPr>
          <w:rFonts w:hint="eastAsia" w:ascii="仿宋" w:hAnsi="仿宋" w:eastAsia="仿宋" w:cs="仿宋"/>
          <w:b w:val="0"/>
        </w:rPr>
        <w:br w:type="page"/>
      </w:r>
      <w:bookmarkStart w:id="46" w:name="_Toc535048520"/>
      <w:bookmarkStart w:id="47" w:name="_Toc3980"/>
      <w:r>
        <w:rPr>
          <w:rFonts w:hint="eastAsia" w:ascii="仿宋" w:hAnsi="仿宋" w:eastAsia="仿宋" w:cs="仿宋"/>
          <w:b w:val="0"/>
        </w:rPr>
        <w:t>第二部分 技术部分</w:t>
      </w:r>
      <w:bookmarkEnd w:id="46"/>
      <w:bookmarkEnd w:id="47"/>
    </w:p>
    <w:p>
      <w:pPr>
        <w:overflowPunct w:val="0"/>
        <w:autoSpaceDE w:val="0"/>
        <w:snapToGrid w:val="0"/>
        <w:spacing w:line="360" w:lineRule="auto"/>
        <w:jc w:val="center"/>
        <w:rPr>
          <w:rFonts w:ascii="仿宋" w:hAnsi="仿宋" w:eastAsia="仿宋" w:cs="仿宋"/>
        </w:rPr>
      </w:pPr>
      <w:r>
        <w:rPr>
          <w:rFonts w:hint="eastAsia" w:ascii="仿宋" w:hAnsi="仿宋" w:eastAsia="仿宋" w:cs="仿宋"/>
          <w:bCs/>
          <w:sz w:val="24"/>
          <w:szCs w:val="24"/>
        </w:rPr>
        <w:t>一、施工组织设计</w:t>
      </w:r>
    </w:p>
    <w:p>
      <w:pPr>
        <w:autoSpaceDE w:val="0"/>
        <w:snapToGrid w:val="0"/>
        <w:spacing w:line="360" w:lineRule="auto"/>
        <w:ind w:right="-103" w:firstLine="480"/>
        <w:rPr>
          <w:rFonts w:ascii="仿宋" w:hAnsi="仿宋" w:eastAsia="仿宋" w:cs="仿宋"/>
        </w:rPr>
      </w:pPr>
      <w:r>
        <w:rPr>
          <w:rFonts w:hint="eastAsia" w:ascii="仿宋" w:hAnsi="仿宋" w:eastAsia="仿宋" w:cs="仿宋"/>
          <w:sz w:val="24"/>
          <w:szCs w:val="24"/>
        </w:rPr>
        <w:t>供应商应编制施工组织设计，包括磋商文件第一章第二部分“响应须知”第11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pPr>
        <w:spacing w:line="360" w:lineRule="auto"/>
        <w:rPr>
          <w:rFonts w:ascii="仿宋" w:hAnsi="仿宋" w:eastAsia="仿宋" w:cs="仿宋"/>
          <w:sz w:val="24"/>
          <w:szCs w:val="24"/>
        </w:rPr>
      </w:pPr>
    </w:p>
    <w:p>
      <w:pPr>
        <w:pStyle w:val="3"/>
        <w:pageBreakBefore/>
        <w:jc w:val="center"/>
        <w:rPr>
          <w:rFonts w:ascii="仿宋" w:hAnsi="仿宋" w:eastAsia="仿宋" w:cs="仿宋"/>
          <w:b w:val="0"/>
        </w:rPr>
      </w:pPr>
      <w:bookmarkStart w:id="48" w:name="_Toc15695"/>
      <w:bookmarkStart w:id="49" w:name="_Toc535048521"/>
      <w:r>
        <w:rPr>
          <w:rFonts w:hint="eastAsia" w:ascii="仿宋" w:hAnsi="仿宋" w:eastAsia="仿宋" w:cs="仿宋"/>
          <w:b w:val="0"/>
        </w:rPr>
        <w:t>第六章 具体评审办法</w:t>
      </w:r>
      <w:bookmarkEnd w:id="48"/>
      <w:bookmarkEnd w:id="49"/>
    </w:p>
    <w:p>
      <w:pPr>
        <w:autoSpaceDE w:val="0"/>
        <w:snapToGrid w:val="0"/>
        <w:spacing w:line="360" w:lineRule="auto"/>
        <w:ind w:firstLine="480"/>
        <w:rPr>
          <w:rFonts w:ascii="仿宋" w:hAnsi="仿宋" w:eastAsia="仿宋" w:cs="仿宋"/>
        </w:rPr>
      </w:pPr>
      <w:r>
        <w:rPr>
          <w:rFonts w:hint="eastAsia" w:ascii="仿宋" w:hAnsi="仿宋" w:eastAsia="仿宋" w:cs="仿宋"/>
          <w:sz w:val="24"/>
          <w:szCs w:val="24"/>
        </w:rPr>
        <w:t>第一步：响应文件的符合性鉴定</w:t>
      </w:r>
    </w:p>
    <w:p>
      <w:pPr>
        <w:snapToGrid w:val="0"/>
        <w:spacing w:line="360" w:lineRule="auto"/>
        <w:ind w:firstLine="480"/>
        <w:rPr>
          <w:rFonts w:ascii="仿宋" w:hAnsi="仿宋" w:eastAsia="仿宋" w:cs="仿宋"/>
        </w:rPr>
      </w:pPr>
      <w:r>
        <w:rPr>
          <w:rFonts w:hint="eastAsia" w:ascii="仿宋" w:hAnsi="仿宋" w:eastAsia="仿宋" w:cs="仿宋"/>
          <w:sz w:val="24"/>
          <w:szCs w:val="24"/>
        </w:rPr>
        <w:t>响应文件应实质性响应磋商文件的所有条款、条件，</w:t>
      </w:r>
      <w:r>
        <w:rPr>
          <w:rFonts w:hint="eastAsia" w:ascii="仿宋" w:hAnsi="仿宋" w:eastAsia="仿宋" w:cs="仿宋"/>
          <w:spacing w:val="-6"/>
          <w:sz w:val="24"/>
          <w:szCs w:val="24"/>
        </w:rPr>
        <w:t>无显著的差异或保留</w:t>
      </w:r>
      <w:r>
        <w:rPr>
          <w:rFonts w:hint="eastAsia" w:ascii="仿宋" w:hAnsi="仿宋" w:eastAsia="仿宋" w:cs="仿宋"/>
          <w:sz w:val="24"/>
          <w:szCs w:val="24"/>
        </w:rPr>
        <w:t>，按照磋商文件要求，无漏项和不合理的多项。本步骤主要考察以下内容：</w:t>
      </w:r>
    </w:p>
    <w:p>
      <w:pPr>
        <w:snapToGrid w:val="0"/>
        <w:spacing w:line="360" w:lineRule="auto"/>
        <w:ind w:firstLine="480"/>
        <w:rPr>
          <w:rFonts w:ascii="仿宋" w:hAnsi="仿宋" w:eastAsia="仿宋" w:cs="仿宋"/>
        </w:rPr>
      </w:pPr>
      <w:r>
        <w:rPr>
          <w:rFonts w:hint="eastAsia" w:ascii="仿宋" w:hAnsi="仿宋" w:eastAsia="仿宋" w:cs="仿宋"/>
          <w:sz w:val="24"/>
          <w:szCs w:val="24"/>
        </w:rPr>
        <w:t>1）响应文件涂改、增删处应有授权代表签字；</w:t>
      </w:r>
    </w:p>
    <w:p>
      <w:pPr>
        <w:snapToGrid w:val="0"/>
        <w:spacing w:line="360" w:lineRule="auto"/>
        <w:ind w:firstLine="480"/>
        <w:rPr>
          <w:rFonts w:ascii="仿宋" w:hAnsi="仿宋" w:eastAsia="仿宋" w:cs="仿宋"/>
        </w:rPr>
      </w:pPr>
      <w:r>
        <w:rPr>
          <w:rFonts w:hint="eastAsia" w:ascii="仿宋" w:hAnsi="仿宋" w:eastAsia="仿宋" w:cs="仿宋"/>
          <w:sz w:val="24"/>
          <w:szCs w:val="24"/>
        </w:rPr>
        <w:t>2）在质量标准、服务期限、发包范围及采购单位权力、供应商义务范围等方面应没有采购单位无法接受的保留条件；</w:t>
      </w:r>
    </w:p>
    <w:p>
      <w:pPr>
        <w:snapToGrid w:val="0"/>
        <w:spacing w:line="360" w:lineRule="auto"/>
        <w:ind w:firstLine="480"/>
        <w:rPr>
          <w:rFonts w:ascii="仿宋" w:hAnsi="仿宋" w:eastAsia="仿宋" w:cs="仿宋"/>
        </w:rPr>
      </w:pPr>
      <w:r>
        <w:rPr>
          <w:rFonts w:hint="eastAsia" w:ascii="仿宋" w:hAnsi="仿宋" w:eastAsia="仿宋" w:cs="仿宋"/>
          <w:sz w:val="24"/>
          <w:szCs w:val="24"/>
        </w:rPr>
        <w:t>3）响应文件应有单位盖章并有法定代表人或法定代表人授权的代理人签字或盖章；</w:t>
      </w:r>
    </w:p>
    <w:p>
      <w:pPr>
        <w:snapToGrid w:val="0"/>
        <w:spacing w:line="360" w:lineRule="auto"/>
        <w:ind w:firstLine="480"/>
        <w:rPr>
          <w:rFonts w:ascii="仿宋" w:hAnsi="仿宋" w:eastAsia="仿宋" w:cs="仿宋"/>
        </w:rPr>
      </w:pPr>
      <w:r>
        <w:rPr>
          <w:rFonts w:hint="eastAsia" w:ascii="仿宋" w:hAnsi="仿宋" w:eastAsia="仿宋" w:cs="仿宋"/>
          <w:sz w:val="24"/>
          <w:szCs w:val="24"/>
        </w:rPr>
        <w:t>4）响应文件内容齐全、关键字迹应清晰、便于辨认；</w:t>
      </w:r>
    </w:p>
    <w:p>
      <w:pPr>
        <w:snapToGrid w:val="0"/>
        <w:spacing w:line="360" w:lineRule="auto"/>
        <w:ind w:firstLine="480"/>
        <w:rPr>
          <w:rFonts w:ascii="仿宋" w:hAnsi="仿宋" w:eastAsia="仿宋" w:cs="仿宋"/>
        </w:rPr>
      </w:pPr>
      <w:r>
        <w:rPr>
          <w:rFonts w:hint="eastAsia" w:ascii="仿宋" w:hAnsi="仿宋" w:eastAsia="仿宋" w:cs="仿宋"/>
          <w:sz w:val="24"/>
          <w:szCs w:val="24"/>
        </w:rPr>
        <w:t>5）本项目不接受多方案报价；</w:t>
      </w:r>
    </w:p>
    <w:p>
      <w:pPr>
        <w:snapToGrid w:val="0"/>
        <w:spacing w:line="360" w:lineRule="auto"/>
        <w:ind w:firstLine="480"/>
        <w:rPr>
          <w:rFonts w:ascii="仿宋" w:hAnsi="仿宋" w:eastAsia="仿宋" w:cs="仿宋"/>
        </w:rPr>
      </w:pPr>
      <w:r>
        <w:rPr>
          <w:rFonts w:hint="eastAsia" w:ascii="仿宋" w:hAnsi="仿宋" w:eastAsia="仿宋" w:cs="仿宋"/>
          <w:sz w:val="24"/>
          <w:szCs w:val="24"/>
        </w:rPr>
        <w:t>6）供应商名称或企业组织机构与资格审查时应一致；</w:t>
      </w:r>
    </w:p>
    <w:p>
      <w:pPr>
        <w:snapToGrid w:val="0"/>
        <w:spacing w:line="360" w:lineRule="auto"/>
        <w:ind w:firstLine="480"/>
        <w:rPr>
          <w:rFonts w:ascii="仿宋" w:hAnsi="仿宋" w:eastAsia="仿宋" w:cs="仿宋"/>
        </w:rPr>
      </w:pPr>
      <w:r>
        <w:rPr>
          <w:rFonts w:hint="eastAsia" w:ascii="仿宋" w:hAnsi="仿宋" w:eastAsia="仿宋" w:cs="仿宋"/>
          <w:sz w:val="24"/>
          <w:szCs w:val="24"/>
        </w:rPr>
        <w:t>对某一供应商的鉴定中，若评委会认为某供应商有1项以上（包括1项）“不符合”，则该供应商不得进入下一步的评审。</w:t>
      </w:r>
    </w:p>
    <w:p>
      <w:pPr>
        <w:snapToGrid w:val="0"/>
        <w:spacing w:line="360" w:lineRule="auto"/>
        <w:ind w:firstLine="480"/>
        <w:rPr>
          <w:rFonts w:ascii="仿宋" w:hAnsi="仿宋" w:eastAsia="仿宋" w:cs="仿宋"/>
        </w:rPr>
      </w:pPr>
      <w:r>
        <w:rPr>
          <w:rFonts w:hint="eastAsia" w:ascii="仿宋" w:hAnsi="仿宋" w:eastAsia="仿宋" w:cs="仿宋"/>
          <w:sz w:val="24"/>
          <w:szCs w:val="24"/>
        </w:rPr>
        <w:t>第二步：对响应文件的澄清</w:t>
      </w:r>
    </w:p>
    <w:p>
      <w:pPr>
        <w:snapToGrid w:val="0"/>
        <w:spacing w:line="360" w:lineRule="auto"/>
        <w:ind w:firstLine="480"/>
        <w:rPr>
          <w:rFonts w:ascii="仿宋" w:hAnsi="仿宋" w:eastAsia="仿宋" w:cs="仿宋"/>
        </w:rPr>
      </w:pPr>
      <w:r>
        <w:rPr>
          <w:rFonts w:hint="eastAsia" w:ascii="仿宋" w:hAnsi="仿宋" w:eastAsia="仿宋" w:cs="仿宋"/>
          <w:sz w:val="24"/>
          <w:szCs w:val="24"/>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pPr>
        <w:snapToGrid w:val="0"/>
        <w:spacing w:line="360" w:lineRule="auto"/>
        <w:ind w:firstLine="480"/>
        <w:rPr>
          <w:rFonts w:ascii="仿宋" w:hAnsi="仿宋" w:eastAsia="仿宋" w:cs="仿宋"/>
        </w:rPr>
      </w:pPr>
      <w:r>
        <w:rPr>
          <w:rFonts w:hint="eastAsia" w:ascii="仿宋" w:hAnsi="仿宋" w:eastAsia="仿宋" w:cs="仿宋"/>
          <w:sz w:val="24"/>
          <w:szCs w:val="24"/>
        </w:rPr>
        <w:t>第三步：综合评分</w:t>
      </w:r>
    </w:p>
    <w:p>
      <w:pPr>
        <w:snapToGrid w:val="0"/>
        <w:spacing w:line="360" w:lineRule="auto"/>
        <w:ind w:firstLine="480"/>
        <w:rPr>
          <w:rFonts w:ascii="仿宋" w:hAnsi="仿宋" w:eastAsia="仿宋" w:cs="仿宋"/>
        </w:rPr>
      </w:pPr>
      <w:r>
        <w:rPr>
          <w:rFonts w:hint="eastAsia" w:ascii="仿宋" w:hAnsi="仿宋" w:eastAsia="仿宋" w:cs="仿宋"/>
          <w:sz w:val="24"/>
          <w:szCs w:val="24"/>
        </w:rPr>
        <w:t>各评委在充分审阅供应商响应文件的基础上，按照评分标准对每个供应商进行分项打分。</w:t>
      </w:r>
    </w:p>
    <w:p>
      <w:pPr>
        <w:snapToGrid w:val="0"/>
        <w:spacing w:line="360" w:lineRule="auto"/>
        <w:ind w:firstLine="480"/>
        <w:rPr>
          <w:rFonts w:ascii="仿宋" w:hAnsi="仿宋" w:eastAsia="仿宋" w:cs="仿宋"/>
        </w:rPr>
      </w:pPr>
      <w:r>
        <w:rPr>
          <w:rFonts w:hint="eastAsia" w:ascii="仿宋" w:hAnsi="仿宋" w:eastAsia="仿宋" w:cs="仿宋"/>
          <w:sz w:val="24"/>
          <w:szCs w:val="24"/>
        </w:rPr>
        <w:t>第四步：名次评定及授标</w:t>
      </w:r>
    </w:p>
    <w:p>
      <w:pPr>
        <w:snapToGrid w:val="0"/>
        <w:spacing w:line="360" w:lineRule="auto"/>
        <w:ind w:firstLine="480"/>
        <w:rPr>
          <w:rFonts w:ascii="仿宋" w:hAnsi="仿宋" w:eastAsia="仿宋" w:cs="仿宋"/>
        </w:rPr>
      </w:pPr>
      <w:r>
        <w:rPr>
          <w:rFonts w:hint="eastAsia" w:ascii="仿宋" w:hAnsi="仿宋" w:eastAsia="仿宋" w:cs="仿宋"/>
          <w:sz w:val="24"/>
          <w:szCs w:val="24"/>
        </w:rPr>
        <w:t>每个包按分数从高到低的顺序，选定两名成交候选人，采购单位原则上应选定排名第一的成交候选人为该包成交人。</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注：对同一包而言，得分相同者，报价低的，名次在前；若报价也相同，则以技术响应更优者，名次在前。</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成交条件：响应文件能最大限度的满足磋商文件要求，综合得分最高，且能履行合同者。</w:t>
      </w:r>
    </w:p>
    <w:p>
      <w:pPr>
        <w:spacing w:line="360" w:lineRule="auto"/>
        <w:rPr>
          <w:rFonts w:ascii="仿宋" w:hAnsi="仿宋" w:eastAsia="仿宋" w:cs="仿宋"/>
          <w:b/>
          <w:szCs w:val="24"/>
        </w:rPr>
      </w:pPr>
      <w:r>
        <w:rPr>
          <w:rFonts w:hint="eastAsia" w:ascii="仿宋" w:hAnsi="仿宋" w:eastAsia="仿宋" w:cs="仿宋"/>
          <w:b/>
          <w:szCs w:val="24"/>
        </w:rPr>
        <w:t>评审办法</w:t>
      </w:r>
    </w:p>
    <w:tbl>
      <w:tblPr>
        <w:tblStyle w:val="20"/>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825"/>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kern w:val="2"/>
                <w:sz w:val="24"/>
                <w:szCs w:val="24"/>
              </w:rPr>
            </w:pPr>
            <w:r>
              <w:rPr>
                <w:rFonts w:hint="eastAsia" w:ascii="仿宋" w:hAnsi="仿宋" w:eastAsia="仿宋" w:cs="仿宋"/>
                <w:b/>
                <w:sz w:val="24"/>
                <w:szCs w:val="24"/>
              </w:rPr>
              <w:t>评分因素</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kern w:val="2"/>
                <w:sz w:val="24"/>
                <w:szCs w:val="24"/>
              </w:rPr>
            </w:pPr>
            <w:r>
              <w:rPr>
                <w:rFonts w:hint="eastAsia" w:ascii="仿宋" w:hAnsi="仿宋" w:eastAsia="仿宋" w:cs="仿宋"/>
                <w:b/>
                <w:sz w:val="24"/>
                <w:szCs w:val="24"/>
              </w:rPr>
              <w:t>分值</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kern w:val="2"/>
                <w:sz w:val="24"/>
                <w:szCs w:val="24"/>
              </w:rPr>
            </w:pPr>
            <w:r>
              <w:rPr>
                <w:rFonts w:hint="eastAsia" w:ascii="仿宋" w:hAnsi="仿宋" w:eastAsia="仿宋" w:cs="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报价</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kern w:val="2"/>
                <w:sz w:val="24"/>
                <w:szCs w:val="24"/>
              </w:rPr>
            </w:pPr>
            <w:r>
              <w:rPr>
                <w:rFonts w:hint="eastAsia" w:ascii="仿宋" w:hAnsi="仿宋" w:eastAsia="仿宋" w:cs="仿宋"/>
                <w:sz w:val="24"/>
                <w:szCs w:val="24"/>
              </w:rPr>
              <w:t>以满足磋商文件要求且最终报价最低的报价为评标基准价，其价格分为满分</w:t>
            </w:r>
            <w:r>
              <w:rPr>
                <w:rFonts w:hint="eastAsia" w:ascii="仿宋" w:hAnsi="仿宋" w:eastAsia="仿宋" w:cs="仿宋"/>
                <w:sz w:val="24"/>
                <w:szCs w:val="24"/>
                <w:lang w:val="en-US" w:eastAsia="zh-CN"/>
              </w:rPr>
              <w:t>3</w:t>
            </w:r>
            <w:r>
              <w:rPr>
                <w:rFonts w:hint="eastAsia" w:ascii="仿宋" w:hAnsi="仿宋" w:eastAsia="仿宋" w:cs="仿宋"/>
                <w:sz w:val="24"/>
                <w:szCs w:val="24"/>
              </w:rPr>
              <w:t>0分，其他供应商的价格分按照下列公式计算：报价得分=（评标基准价/最终报价）×</w:t>
            </w:r>
            <w:r>
              <w:rPr>
                <w:rFonts w:hint="eastAsia" w:ascii="仿宋" w:hAnsi="仿宋" w:eastAsia="仿宋" w:cs="仿宋"/>
                <w:sz w:val="24"/>
                <w:szCs w:val="24"/>
                <w:lang w:val="en-US" w:eastAsia="zh-CN"/>
              </w:rPr>
              <w:t>3</w:t>
            </w:r>
            <w:r>
              <w:rPr>
                <w:rFonts w:hint="eastAsia" w:ascii="仿宋" w:hAnsi="仿宋" w:eastAsia="仿宋" w:cs="仿宋"/>
                <w:sz w:val="24"/>
                <w:szCs w:val="24"/>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企业业绩</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kern w:val="2"/>
                <w:sz w:val="24"/>
                <w:szCs w:val="24"/>
              </w:rPr>
            </w:pPr>
            <w:r>
              <w:rPr>
                <w:rFonts w:hint="eastAsia" w:ascii="仿宋" w:hAnsi="仿宋" w:eastAsia="仿宋" w:cs="仿宋"/>
                <w:sz w:val="24"/>
                <w:szCs w:val="24"/>
              </w:rPr>
              <w:t>自2016年1月1日以来已完成的同类项目业绩，每提供1份得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10</w:t>
            </w:r>
            <w:r>
              <w:rPr>
                <w:rFonts w:hint="eastAsia" w:ascii="仿宋" w:hAnsi="仿宋" w:eastAsia="仿宋" w:cs="仿宋"/>
                <w:sz w:val="24"/>
                <w:szCs w:val="24"/>
              </w:rPr>
              <w:t>分（须提供合同原件，未提供原件不得分）。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工程保修期</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kern w:val="2"/>
                <w:sz w:val="24"/>
                <w:szCs w:val="24"/>
              </w:rPr>
            </w:pPr>
            <w:r>
              <w:rPr>
                <w:rFonts w:hint="eastAsia" w:ascii="仿宋" w:hAnsi="仿宋" w:eastAsia="仿宋" w:cs="仿宋"/>
                <w:sz w:val="24"/>
                <w:szCs w:val="24"/>
              </w:rPr>
              <w:t>工程保修期在满足磋商文件要求的基础上每延长一年的得1分，最多得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施工材料</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20分</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1、根据工程材料品牌、产地、规格、型号标注的详细程度得0-2分；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2、供应商拟投入本项目施工所用的材料是否符合采购人要求及国家环保要求,质量可靠，并附有关证明材料。响应要求并根据所报材料的品牌、质量等。</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主设备</w:t>
            </w:r>
            <w:r>
              <w:rPr>
                <w:rFonts w:hint="eastAsia" w:ascii="仿宋" w:hAnsi="仿宋" w:eastAsia="仿宋" w:cs="仿宋"/>
                <w:sz w:val="24"/>
                <w:szCs w:val="24"/>
                <w:lang w:eastAsia="zh-CN"/>
              </w:rPr>
              <w:t>、</w:t>
            </w:r>
            <w:r>
              <w:rPr>
                <w:rFonts w:hint="eastAsia" w:ascii="仿宋" w:hAnsi="仿宋" w:eastAsia="仿宋" w:cs="仿宋"/>
                <w:sz w:val="24"/>
                <w:szCs w:val="24"/>
              </w:rPr>
              <w:t>材料质量优等，且所报材料的产地、生产厂家、品牌、性能参数、技术指标以及单价、合价、数量详尽清晰，便于采购单位进场验收10-13分；</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主设备</w:t>
            </w:r>
            <w:r>
              <w:rPr>
                <w:rFonts w:hint="eastAsia" w:ascii="仿宋" w:hAnsi="仿宋" w:eastAsia="仿宋" w:cs="仿宋"/>
                <w:sz w:val="24"/>
                <w:szCs w:val="24"/>
                <w:lang w:eastAsia="zh-CN"/>
              </w:rPr>
              <w:t>、</w:t>
            </w:r>
            <w:r>
              <w:rPr>
                <w:rFonts w:hint="eastAsia" w:ascii="仿宋" w:hAnsi="仿宋" w:eastAsia="仿宋" w:cs="仿宋"/>
                <w:sz w:val="24"/>
                <w:szCs w:val="24"/>
              </w:rPr>
              <w:t>材料质量较好，且所报材料的产地、生产厂家、品牌、性能参数、技术指标以及单价、合价、数量基本详尽清晰，基本便于采购单位进场验收6-9分；</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主设备</w:t>
            </w:r>
            <w:r>
              <w:rPr>
                <w:rFonts w:hint="eastAsia" w:ascii="仿宋" w:hAnsi="仿宋" w:eastAsia="仿宋" w:cs="仿宋"/>
                <w:sz w:val="24"/>
                <w:szCs w:val="24"/>
                <w:lang w:eastAsia="zh-CN"/>
              </w:rPr>
              <w:t>、</w:t>
            </w:r>
            <w:r>
              <w:rPr>
                <w:rFonts w:hint="eastAsia" w:ascii="仿宋" w:hAnsi="仿宋" w:eastAsia="仿宋" w:cs="仿宋"/>
                <w:sz w:val="24"/>
                <w:szCs w:val="24"/>
              </w:rPr>
              <w:t>材料质量较差，且所报材料的产地、生产厂家、品牌、性能参数、技术指标以及单价、合价、数量不够清晰明确，不便于采购单位进场验收1-5分。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3、按照磋商文件要求提供样品的齐全程度及样品质量，得0-5分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kern w:val="2"/>
                <w:sz w:val="24"/>
                <w:szCs w:val="24"/>
              </w:rPr>
            </w:pPr>
            <w:r>
              <w:rPr>
                <w:rFonts w:hint="eastAsia" w:ascii="仿宋" w:hAnsi="仿宋" w:eastAsia="仿宋" w:cs="仿宋"/>
                <w:sz w:val="24"/>
                <w:szCs w:val="24"/>
              </w:rPr>
              <w:t>如磋商文件中未要求提供样品，则本项得5分。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施工方案</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1、施工方案先进及合理情况0-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2、工序安排合理情况 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在</w:t>
            </w:r>
            <w:r>
              <w:rPr>
                <w:rFonts w:hint="eastAsia" w:ascii="仿宋" w:hAnsi="仿宋" w:eastAsia="仿宋" w:cs="仿宋"/>
                <w:sz w:val="24"/>
                <w:szCs w:val="24"/>
              </w:rPr>
              <w:t>工期进度及控制点设置（结合施工横道图）合理</w:t>
            </w:r>
            <w:r>
              <w:rPr>
                <w:rFonts w:hint="eastAsia" w:ascii="仿宋" w:hAnsi="仿宋" w:eastAsia="仿宋" w:cs="仿宋"/>
                <w:sz w:val="24"/>
                <w:szCs w:val="24"/>
                <w:lang w:eastAsia="zh-CN"/>
              </w:rPr>
              <w:t>的基础上</w:t>
            </w:r>
            <w:r>
              <w:rPr>
                <w:rFonts w:hint="eastAsia" w:ascii="仿宋" w:hAnsi="仿宋" w:eastAsia="仿宋" w:cs="仿宋"/>
                <w:sz w:val="24"/>
                <w:szCs w:val="24"/>
              </w:rPr>
              <w:t>,</w:t>
            </w:r>
            <w:r>
              <w:rPr>
                <w:rFonts w:hint="eastAsia" w:ascii="仿宋" w:hAnsi="仿宋" w:eastAsia="仿宋" w:cs="仿宋"/>
                <w:sz w:val="24"/>
                <w:szCs w:val="24"/>
                <w:lang w:eastAsia="zh-CN"/>
              </w:rPr>
              <w:t>视缩短工期的情况得</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4、机械设备是否满足工程需要情况0-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5、劳动力组织均衡情况0-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kern w:val="2"/>
                <w:sz w:val="24"/>
                <w:szCs w:val="24"/>
              </w:rPr>
            </w:pPr>
            <w:r>
              <w:rPr>
                <w:rFonts w:hint="eastAsia" w:ascii="仿宋" w:hAnsi="仿宋" w:eastAsia="仿宋" w:cs="仿宋"/>
                <w:sz w:val="24"/>
                <w:szCs w:val="24"/>
              </w:rPr>
              <w:t>以上5项，磋商小组根据方案描述酌情打分。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质量保证措施</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kern w:val="2"/>
                <w:sz w:val="24"/>
                <w:szCs w:val="24"/>
              </w:rPr>
            </w:pPr>
            <w:r>
              <w:rPr>
                <w:rFonts w:hint="eastAsia" w:ascii="仿宋" w:hAnsi="仿宋" w:eastAsia="仿宋" w:cs="仿宋"/>
                <w:sz w:val="24"/>
                <w:szCs w:val="24"/>
                <w:lang w:eastAsia="zh-CN"/>
              </w:rPr>
              <w:t>根据</w:t>
            </w:r>
            <w:r>
              <w:rPr>
                <w:rFonts w:hint="eastAsia" w:ascii="仿宋" w:hAnsi="仿宋" w:eastAsia="仿宋" w:cs="仿宋"/>
                <w:sz w:val="24"/>
                <w:szCs w:val="24"/>
              </w:rPr>
              <w:t>质量保证措施、隐蔽工程验收方法、提供</w:t>
            </w:r>
            <w:r>
              <w:rPr>
                <w:rFonts w:hint="eastAsia" w:ascii="仿宋" w:hAnsi="仿宋" w:eastAsia="仿宋" w:cs="仿宋"/>
                <w:sz w:val="24"/>
                <w:szCs w:val="24"/>
                <w:lang w:eastAsia="zh-CN"/>
              </w:rPr>
              <w:t>施工及验收</w:t>
            </w:r>
            <w:r>
              <w:rPr>
                <w:rFonts w:hint="eastAsia" w:ascii="仿宋" w:hAnsi="仿宋" w:eastAsia="仿宋" w:cs="仿宋"/>
                <w:sz w:val="24"/>
                <w:szCs w:val="24"/>
              </w:rPr>
              <w:t>信息</w:t>
            </w:r>
            <w:r>
              <w:rPr>
                <w:rFonts w:hint="eastAsia" w:ascii="仿宋" w:hAnsi="仿宋" w:eastAsia="仿宋" w:cs="仿宋"/>
                <w:sz w:val="24"/>
                <w:szCs w:val="24"/>
                <w:lang w:eastAsia="zh-CN"/>
              </w:rPr>
              <w:t>等方案以便于</w:t>
            </w:r>
            <w:r>
              <w:rPr>
                <w:rFonts w:hint="eastAsia" w:ascii="仿宋" w:hAnsi="仿宋" w:eastAsia="仿宋" w:cs="仿宋"/>
                <w:sz w:val="24"/>
                <w:szCs w:val="24"/>
              </w:rPr>
              <w:t>甲方监督等</w:t>
            </w:r>
            <w:r>
              <w:rPr>
                <w:rFonts w:hint="eastAsia" w:ascii="仿宋" w:hAnsi="仿宋" w:eastAsia="仿宋" w:cs="仿宋"/>
                <w:sz w:val="24"/>
                <w:szCs w:val="24"/>
                <w:lang w:eastAsia="zh-CN"/>
              </w:rPr>
              <w:t>内容</w:t>
            </w:r>
            <w:r>
              <w:rPr>
                <w:rFonts w:hint="eastAsia" w:ascii="仿宋" w:hAnsi="仿宋" w:eastAsia="仿宋" w:cs="仿宋"/>
                <w:sz w:val="24"/>
                <w:szCs w:val="24"/>
              </w:rPr>
              <w:t>进行评分，酌情得0-</w:t>
            </w: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安全文明施工</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4分</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1、现场安全生产措施酌情得0-2分；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kern w:val="2"/>
                <w:sz w:val="24"/>
                <w:szCs w:val="24"/>
              </w:rPr>
            </w:pPr>
            <w:r>
              <w:rPr>
                <w:rFonts w:hint="eastAsia" w:ascii="仿宋" w:hAnsi="仿宋" w:eastAsia="仿宋" w:cs="仿宋"/>
                <w:sz w:val="24"/>
                <w:szCs w:val="24"/>
              </w:rPr>
              <w:t>2、现场文明施工措施酌情得0-2分。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服务承诺</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4分</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1、根据服务承诺的内容和保障措施优劣酌情得0-2分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kern w:val="2"/>
                <w:sz w:val="24"/>
                <w:szCs w:val="24"/>
              </w:rPr>
            </w:pPr>
            <w:r>
              <w:rPr>
                <w:rFonts w:hint="eastAsia" w:ascii="仿宋" w:hAnsi="仿宋" w:eastAsia="仿宋" w:cs="仿宋"/>
                <w:sz w:val="24"/>
                <w:szCs w:val="24"/>
              </w:rPr>
              <w:t>2、综合考虑供应商售后服务响应时间、服务体系、交货、运输、安装调试等内容，酌情得0-2分。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响应文件内容及询标答疑</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2分</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kern w:val="0"/>
                <w:sz w:val="24"/>
                <w:szCs w:val="24"/>
              </w:rPr>
            </w:pPr>
            <w:r>
              <w:rPr>
                <w:rFonts w:hint="eastAsia" w:ascii="仿宋" w:hAnsi="仿宋" w:eastAsia="仿宋" w:cs="仿宋"/>
                <w:sz w:val="24"/>
                <w:szCs w:val="24"/>
              </w:rPr>
              <w:t>根据响应文件提供资料是否齐全，文字是否清晰，描述是否准确，询标答疑过程对磋商小组提出需澄清确认的问题答复是否完整、准确酌情得0-2分。</w:t>
            </w:r>
          </w:p>
        </w:tc>
      </w:tr>
    </w:tbl>
    <w:p>
      <w:pPr>
        <w:spacing w:line="360" w:lineRule="auto"/>
        <w:rPr>
          <w:rFonts w:ascii="仿宋" w:hAnsi="仿宋" w:eastAsia="仿宋"/>
          <w:sz w:val="24"/>
          <w:szCs w:val="24"/>
        </w:rPr>
      </w:pPr>
      <w:r>
        <w:rPr>
          <w:rFonts w:hint="eastAsia" w:ascii="仿宋" w:hAnsi="仿宋" w:eastAsia="仿宋"/>
          <w:sz w:val="24"/>
          <w:szCs w:val="24"/>
        </w:rPr>
        <w:t>说明：</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）供应商所提供的材料或者填写的内容必须真实、可靠，如有虚假或隐瞒，一经查实将导致投标被拒绝，并按照相关法律进行处罚，给采购人造成损失的应承担赔偿责任。</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）以上评标标准中要求供应商提交相关证明材料原件（或复印件）的，未装订在响应文件中的不得分。</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）供应商以联合体的身份参与采购项目的，以商务部分加分最多的一家供应商的加分为商务部分的加分。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1.给予小型和微型企业价格扣除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给予小型和微型企业（包括相互之间组成的联合体）产品的价格6</w:t>
      </w:r>
      <w:r>
        <w:rPr>
          <w:rFonts w:ascii="仿宋" w:hAnsi="仿宋" w:eastAsia="仿宋"/>
          <w:sz w:val="24"/>
          <w:szCs w:val="24"/>
        </w:rPr>
        <w:t>%</w:t>
      </w:r>
      <w:r>
        <w:rPr>
          <w:rFonts w:hint="eastAsia" w:ascii="仿宋" w:hAnsi="仿宋" w:eastAsia="仿宋"/>
          <w:sz w:val="24"/>
          <w:szCs w:val="24"/>
        </w:rPr>
        <w:t>的扣除；计算方法是：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w:t>
      </w: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，按照最终价格计算其价格分得分。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开标时，供应商须提供《中小企业声明函》原件并对声明函的真实性负责，否则不给予价格扣除。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大中型企业和其他自然人、法人或者其他组织与小型、微型企业组成联合体投标，联合协议中约定，小型、微型企业的协议合同金额占到联合体协议合同金额</w:t>
      </w:r>
      <w:r>
        <w:rPr>
          <w:rFonts w:ascii="仿宋" w:hAnsi="仿宋" w:eastAsia="仿宋"/>
          <w:sz w:val="24"/>
          <w:szCs w:val="24"/>
        </w:rPr>
        <w:t>30%</w:t>
      </w:r>
      <w:r>
        <w:rPr>
          <w:rFonts w:hint="eastAsia" w:ascii="仿宋" w:hAnsi="仿宋" w:eastAsia="仿宋"/>
          <w:sz w:val="24"/>
          <w:szCs w:val="24"/>
        </w:rPr>
        <w:t>以上的，可给予联合体</w:t>
      </w:r>
      <w:r>
        <w:rPr>
          <w:rFonts w:ascii="仿宋" w:hAnsi="仿宋" w:eastAsia="仿宋"/>
          <w:sz w:val="24"/>
          <w:szCs w:val="24"/>
        </w:rPr>
        <w:t>3%</w:t>
      </w:r>
      <w:r>
        <w:rPr>
          <w:rFonts w:hint="eastAsia" w:ascii="仿宋" w:hAnsi="仿宋" w:eastAsia="仿宋"/>
          <w:sz w:val="24"/>
          <w:szCs w:val="24"/>
        </w:rPr>
        <w:t>的价格扣除。计算方法是：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97%</w:t>
      </w:r>
      <w:r>
        <w:rPr>
          <w:rFonts w:hint="eastAsia" w:ascii="仿宋" w:hAnsi="仿宋" w:eastAsia="仿宋"/>
          <w:sz w:val="24"/>
          <w:szCs w:val="24"/>
        </w:rPr>
        <w:t>，按照最终价格计算其价格分得分。</w:t>
      </w:r>
    </w:p>
    <w:p>
      <w:pPr>
        <w:spacing w:line="360" w:lineRule="auto"/>
        <w:rPr>
          <w:rFonts w:ascii="仿宋" w:hAnsi="仿宋" w:eastAsia="仿宋" w:cs="仿宋"/>
          <w:sz w:val="24"/>
          <w:szCs w:val="24"/>
        </w:rPr>
        <w:sectPr>
          <w:headerReference r:id="rId3" w:type="default"/>
          <w:footerReference r:id="rId4" w:type="default"/>
          <w:pgSz w:w="11907" w:h="16840"/>
          <w:pgMar w:top="1702" w:right="1418" w:bottom="1247" w:left="1622" w:header="567" w:footer="851" w:gutter="0"/>
          <w:cols w:space="720" w:num="1"/>
          <w:docGrid w:linePitch="381" w:charSpace="-3931"/>
        </w:sectPr>
      </w:pPr>
      <w:r>
        <w:rPr>
          <w:rFonts w:hint="eastAsia" w:ascii="仿宋" w:hAnsi="仿宋" w:eastAsia="仿宋"/>
          <w:sz w:val="24"/>
          <w:szCs w:val="24"/>
        </w:rPr>
        <w:t>开标时，供应商须提供《中小企业声明函》原件并对声明函的真实性负责和联合体协议原件。</w:t>
      </w:r>
    </w:p>
    <w:p>
      <w:pPr>
        <w:pStyle w:val="3"/>
        <w:pageBreakBefore/>
        <w:spacing w:before="0" w:after="0" w:line="480" w:lineRule="exact"/>
        <w:jc w:val="center"/>
        <w:rPr>
          <w:rFonts w:ascii="仿宋" w:hAnsi="仿宋" w:eastAsia="仿宋" w:cs="仿宋"/>
          <w:b w:val="0"/>
        </w:rPr>
      </w:pPr>
      <w:bookmarkStart w:id="50" w:name="_Toc26692"/>
      <w:r>
        <w:rPr>
          <w:rFonts w:hint="eastAsia" w:ascii="仿宋" w:hAnsi="仿宋" w:eastAsia="仿宋" w:cs="仿宋"/>
          <w:b w:val="0"/>
        </w:rPr>
        <w:t>第七章  响应文件格式</w:t>
      </w:r>
      <w:bookmarkEnd w:id="50"/>
    </w:p>
    <w:p>
      <w:pPr>
        <w:spacing w:line="480" w:lineRule="exact"/>
        <w:jc w:val="left"/>
        <w:rPr>
          <w:rFonts w:ascii="仿宋" w:hAnsi="仿宋" w:eastAsia="仿宋" w:cs="仿宋"/>
          <w:sz w:val="24"/>
          <w:szCs w:val="24"/>
        </w:rPr>
      </w:pPr>
      <w:r>
        <w:rPr>
          <w:rFonts w:hint="eastAsia" w:ascii="仿宋" w:hAnsi="仿宋" w:eastAsia="仿宋" w:cs="仿宋"/>
          <w:sz w:val="24"/>
          <w:szCs w:val="24"/>
        </w:rPr>
        <w:t>附件1：</w:t>
      </w:r>
    </w:p>
    <w:p>
      <w:pPr>
        <w:spacing w:before="100" w:beforeAutospacing="1" w:after="100" w:afterAutospacing="1" w:line="440" w:lineRule="exact"/>
        <w:jc w:val="center"/>
        <w:rPr>
          <w:rFonts w:ascii="仿宋" w:hAnsi="仿宋" w:eastAsia="仿宋" w:cs="仿宋"/>
          <w:szCs w:val="28"/>
        </w:rPr>
      </w:pPr>
      <w:r>
        <w:rPr>
          <w:rFonts w:hint="eastAsia" w:ascii="仿宋" w:hAnsi="仿宋" w:eastAsia="仿宋" w:cs="仿宋"/>
          <w:szCs w:val="28"/>
        </w:rPr>
        <w:t>在经营活动中没有重大违法记录的书面声明</w:t>
      </w:r>
    </w:p>
    <w:p>
      <w:pPr>
        <w:spacing w:line="440" w:lineRule="exact"/>
        <w:jc w:val="center"/>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我方在参加（项目名称）采购活动前3年内，我方被公开披露或查处的违法违规行为有：，但在经营活动中没有重大违法记录（重大违法记录指</w:t>
      </w:r>
      <w:r>
        <w:rPr>
          <w:rFonts w:hint="eastAsia" w:ascii="仿宋" w:hAnsi="仿宋" w:eastAsia="仿宋" w:cs="仿宋"/>
          <w:kern w:val="0"/>
          <w:sz w:val="24"/>
          <w:szCs w:val="24"/>
        </w:rPr>
        <w:t>供应商因违法经营受到刑事处罚或者责令停产停业、吊销许可证或者执照、较大数额罚款等行政处罚）</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供 应 商：（盖单位公章）</w:t>
      </w: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法定代表人：（签字或盖章）</w:t>
      </w: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日      期：年月日</w:t>
      </w: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备注：供应商没有被公开披露或查处违法违规行为的，注明“无”即可。</w:t>
      </w:r>
    </w:p>
    <w:p>
      <w:pPr>
        <w:widowControl/>
        <w:suppressAutoHyphens w:val="0"/>
        <w:jc w:val="left"/>
        <w:rPr>
          <w:rFonts w:ascii="仿宋" w:hAnsi="仿宋" w:eastAsia="仿宋" w:cs="仿宋"/>
          <w:sz w:val="24"/>
          <w:szCs w:val="24"/>
        </w:rPr>
      </w:pPr>
      <w:r>
        <w:rPr>
          <w:rFonts w:hint="eastAsia" w:ascii="仿宋" w:hAnsi="仿宋" w:eastAsia="仿宋" w:cs="仿宋"/>
          <w:sz w:val="24"/>
          <w:szCs w:val="24"/>
        </w:rPr>
        <w:br w:type="page"/>
      </w:r>
    </w:p>
    <w:p>
      <w:pPr>
        <w:widowControl/>
        <w:autoSpaceDE w:val="0"/>
        <w:autoSpaceDN w:val="0"/>
        <w:adjustRightInd w:val="0"/>
        <w:spacing w:line="440" w:lineRule="exact"/>
        <w:rPr>
          <w:rStyle w:val="49"/>
          <w:rFonts w:cs="仿宋"/>
          <w:sz w:val="24"/>
          <w:szCs w:val="24"/>
        </w:rPr>
      </w:pPr>
      <w:r>
        <w:rPr>
          <w:rStyle w:val="49"/>
          <w:rFonts w:hint="eastAsia" w:cs="仿宋"/>
          <w:sz w:val="24"/>
          <w:szCs w:val="24"/>
        </w:rPr>
        <w:t>附件2：</w:t>
      </w:r>
    </w:p>
    <w:p>
      <w:pPr>
        <w:widowControl/>
        <w:autoSpaceDE w:val="0"/>
        <w:autoSpaceDN w:val="0"/>
        <w:adjustRightInd w:val="0"/>
        <w:spacing w:line="440" w:lineRule="exact"/>
        <w:jc w:val="center"/>
        <w:rPr>
          <w:rFonts w:ascii="仿宋" w:hAnsi="仿宋" w:eastAsia="仿宋" w:cs="仿宋"/>
          <w:szCs w:val="28"/>
        </w:rPr>
      </w:pPr>
      <w:r>
        <w:rPr>
          <w:rFonts w:hint="eastAsia" w:ascii="仿宋" w:hAnsi="仿宋" w:eastAsia="仿宋" w:cs="仿宋"/>
          <w:szCs w:val="28"/>
        </w:rPr>
        <w:t>采购诚信承诺书</w:t>
      </w:r>
    </w:p>
    <w:p>
      <w:pPr>
        <w:widowControl/>
        <w:autoSpaceDE w:val="0"/>
        <w:autoSpaceDN w:val="0"/>
        <w:adjustRightInd w:val="0"/>
        <w:spacing w:line="440" w:lineRule="exact"/>
        <w:rPr>
          <w:rFonts w:ascii="仿宋" w:hAnsi="仿宋" w:eastAsia="仿宋" w:cs="仿宋"/>
          <w:bCs/>
          <w:sz w:val="24"/>
          <w:szCs w:val="24"/>
        </w:rPr>
      </w:pPr>
    </w:p>
    <w:p>
      <w:pPr>
        <w:widowControl/>
        <w:autoSpaceDE w:val="0"/>
        <w:autoSpaceDN w:val="0"/>
        <w:adjustRightInd w:val="0"/>
        <w:spacing w:line="440" w:lineRule="exact"/>
        <w:rPr>
          <w:rFonts w:ascii="仿宋" w:hAnsi="仿宋" w:eastAsia="仿宋" w:cs="仿宋"/>
          <w:sz w:val="24"/>
          <w:szCs w:val="24"/>
        </w:rPr>
      </w:pPr>
      <w:r>
        <w:rPr>
          <w:rFonts w:hint="eastAsia" w:ascii="仿宋" w:hAnsi="仿宋" w:eastAsia="仿宋" w:cs="仿宋"/>
          <w:sz w:val="24"/>
          <w:szCs w:val="24"/>
          <w:u w:val="single"/>
        </w:rPr>
        <w:t>（采购人）</w:t>
      </w:r>
      <w:r>
        <w:rPr>
          <w:rFonts w:hint="eastAsia" w:ascii="仿宋" w:hAnsi="仿宋" w:eastAsia="仿宋" w:cs="仿宋"/>
          <w:sz w:val="24"/>
          <w:szCs w:val="24"/>
        </w:rPr>
        <w:t>，</w:t>
      </w:r>
      <w:r>
        <w:rPr>
          <w:rFonts w:hint="eastAsia" w:ascii="仿宋" w:hAnsi="仿宋" w:eastAsia="仿宋" w:cs="仿宋"/>
          <w:sz w:val="24"/>
          <w:szCs w:val="24"/>
          <w:u w:val="single"/>
        </w:rPr>
        <w:t>（采购代理机构）</w:t>
      </w:r>
      <w:r>
        <w:rPr>
          <w:rFonts w:hint="eastAsia" w:ascii="仿宋" w:hAnsi="仿宋" w:eastAsia="仿宋" w:cs="仿宋"/>
          <w:sz w:val="24"/>
          <w:szCs w:val="24"/>
        </w:rPr>
        <w:t>：</w:t>
      </w:r>
    </w:p>
    <w:p>
      <w:pPr>
        <w:widowControl/>
        <w:autoSpaceDE w:val="0"/>
        <w:autoSpaceDN w:val="0"/>
        <w:adjustRightInd w:val="0"/>
        <w:spacing w:line="440" w:lineRule="exact"/>
        <w:ind w:firstLine="480"/>
        <w:rPr>
          <w:rFonts w:ascii="仿宋" w:hAnsi="仿宋" w:eastAsia="仿宋" w:cs="仿宋"/>
          <w:sz w:val="24"/>
          <w:szCs w:val="24"/>
        </w:rPr>
      </w:pPr>
      <w:r>
        <w:rPr>
          <w:rStyle w:val="49"/>
          <w:rFonts w:hint="eastAsia" w:cs="仿宋"/>
          <w:sz w:val="24"/>
          <w:szCs w:val="24"/>
        </w:rPr>
        <w:t>我公司（供应商名称）已详细阅读了项目（项目编号：）磋商文件，自愿参加本次投标，现就有关事项做出郑重承诺如下：</w:t>
      </w:r>
    </w:p>
    <w:p>
      <w:pPr>
        <w:widowControl/>
        <w:autoSpaceDE w:val="0"/>
        <w:autoSpaceDN w:val="0"/>
        <w:adjustRightInd w:val="0"/>
        <w:spacing w:line="440" w:lineRule="exact"/>
        <w:ind w:firstLine="480"/>
        <w:rPr>
          <w:rStyle w:val="49"/>
          <w:rFonts w:cs="仿宋"/>
          <w:sz w:val="24"/>
          <w:szCs w:val="24"/>
        </w:rPr>
      </w:pPr>
      <w:r>
        <w:rPr>
          <w:rStyle w:val="49"/>
          <w:rFonts w:hint="eastAsia" w:cs="仿宋"/>
          <w:sz w:val="24"/>
          <w:szCs w:val="24"/>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cs="仿宋"/>
          <w:sz w:val="24"/>
          <w:szCs w:val="24"/>
        </w:rPr>
      </w:pPr>
      <w:r>
        <w:rPr>
          <w:rStyle w:val="49"/>
          <w:rFonts w:hint="eastAsia" w:cs="仿宋"/>
          <w:sz w:val="24"/>
          <w:szCs w:val="24"/>
        </w:rPr>
        <w:t>二、遵纪守法，公平竞争。不与其他供应商相互串通、</w:t>
      </w:r>
      <w:r>
        <w:rPr>
          <w:rFonts w:hint="eastAsia" w:ascii="仿宋" w:hAnsi="仿宋" w:eastAsia="仿宋" w:cs="仿宋"/>
          <w:kern w:val="0"/>
          <w:sz w:val="24"/>
          <w:szCs w:val="24"/>
        </w:rPr>
        <w:t>哄抬价格，</w:t>
      </w:r>
      <w:r>
        <w:rPr>
          <w:rStyle w:val="49"/>
          <w:rFonts w:hint="eastAsia" w:cs="仿宋"/>
          <w:sz w:val="24"/>
          <w:szCs w:val="24"/>
        </w:rPr>
        <w:t>不排挤其他供应商，不损害采购人的合法权益；不向评标委员会、采购人提供利益以牟取中标。</w:t>
      </w:r>
    </w:p>
    <w:p>
      <w:pPr>
        <w:widowControl/>
        <w:autoSpaceDE w:val="0"/>
        <w:autoSpaceDN w:val="0"/>
        <w:adjustRightInd w:val="0"/>
        <w:spacing w:line="440" w:lineRule="exact"/>
        <w:ind w:firstLine="480"/>
        <w:rPr>
          <w:rFonts w:ascii="仿宋" w:hAnsi="仿宋" w:eastAsia="仿宋" w:cs="仿宋"/>
          <w:sz w:val="24"/>
          <w:szCs w:val="24"/>
        </w:rPr>
      </w:pPr>
      <w:r>
        <w:rPr>
          <w:rFonts w:hint="eastAsia" w:ascii="仿宋" w:hAnsi="仿宋" w:eastAsia="仿宋" w:cs="仿宋"/>
          <w:kern w:val="0"/>
          <w:sz w:val="24"/>
          <w:szCs w:val="24"/>
        </w:rPr>
        <w:t>三、若中标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440" w:lineRule="exact"/>
        <w:ind w:right="-481" w:firstLine="420"/>
        <w:rPr>
          <w:rFonts w:ascii="仿宋" w:hAnsi="仿宋" w:eastAsia="仿宋" w:cs="仿宋"/>
          <w:sz w:val="24"/>
          <w:szCs w:val="24"/>
        </w:rPr>
      </w:pPr>
      <w:r>
        <w:rPr>
          <w:rStyle w:val="49"/>
          <w:rFonts w:hint="eastAsia" w:cs="仿宋"/>
          <w:sz w:val="24"/>
          <w:szCs w:val="24"/>
        </w:rPr>
        <w:t>若有违反以上承诺内容的行为，我公司自愿接受取消投标资格、记入信用档案、没收投标保证金、媒体通报；如已中标的，自动放弃中标资格，并承担全部法律责任；给采购人造成损失的，依法承担赔偿责任。</w:t>
      </w: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jc w:val="center"/>
        <w:rPr>
          <w:rStyle w:val="49"/>
          <w:rFonts w:cs="仿宋"/>
          <w:sz w:val="24"/>
          <w:szCs w:val="24"/>
        </w:rPr>
      </w:pPr>
      <w:r>
        <w:rPr>
          <w:rStyle w:val="49"/>
          <w:rFonts w:hint="eastAsia" w:cs="仿宋"/>
          <w:sz w:val="24"/>
          <w:szCs w:val="24"/>
        </w:rPr>
        <w:t>供应商名称(盖公章)：</w:t>
      </w:r>
    </w:p>
    <w:p>
      <w:pPr>
        <w:widowControl/>
        <w:autoSpaceDE w:val="0"/>
        <w:autoSpaceDN w:val="0"/>
        <w:adjustRightInd w:val="0"/>
        <w:spacing w:line="440" w:lineRule="exact"/>
        <w:ind w:right="-481"/>
        <w:jc w:val="center"/>
        <w:rPr>
          <w:rStyle w:val="49"/>
          <w:rFonts w:cs="仿宋"/>
          <w:sz w:val="24"/>
          <w:szCs w:val="24"/>
        </w:rPr>
      </w:pPr>
      <w:r>
        <w:rPr>
          <w:rStyle w:val="49"/>
          <w:rFonts w:hint="eastAsia" w:cs="仿宋"/>
          <w:sz w:val="24"/>
          <w:szCs w:val="24"/>
        </w:rPr>
        <w:t>法定代表人（签字）：</w:t>
      </w:r>
    </w:p>
    <w:p>
      <w:pPr>
        <w:widowControl/>
        <w:autoSpaceDE w:val="0"/>
        <w:autoSpaceDN w:val="0"/>
        <w:adjustRightInd w:val="0"/>
        <w:spacing w:line="440" w:lineRule="exact"/>
        <w:ind w:right="-481" w:firstLine="720"/>
        <w:jc w:val="center"/>
        <w:rPr>
          <w:rStyle w:val="49"/>
          <w:rFonts w:cs="仿宋"/>
          <w:sz w:val="24"/>
          <w:szCs w:val="24"/>
        </w:rPr>
      </w:pPr>
      <w:r>
        <w:rPr>
          <w:rStyle w:val="49"/>
          <w:rFonts w:hint="eastAsia" w:cs="仿宋"/>
          <w:sz w:val="24"/>
          <w:szCs w:val="24"/>
        </w:rPr>
        <w:t>年月日</w:t>
      </w:r>
    </w:p>
    <w:p>
      <w:pPr>
        <w:pStyle w:val="2"/>
        <w:rPr>
          <w:rStyle w:val="49"/>
          <w:rFonts w:cs="仿宋"/>
          <w:sz w:val="24"/>
          <w:szCs w:val="24"/>
        </w:rPr>
      </w:pPr>
      <w:r>
        <w:rPr>
          <w:rStyle w:val="49"/>
          <w:rFonts w:cs="仿宋"/>
          <w:sz w:val="24"/>
          <w:szCs w:val="24"/>
        </w:rPr>
        <w:br w:type="page"/>
      </w:r>
    </w:p>
    <w:p>
      <w:pPr>
        <w:snapToGrid w:val="0"/>
        <w:spacing w:line="360" w:lineRule="auto"/>
        <w:rPr>
          <w:rFonts w:ascii="仿宋" w:hAnsi="仿宋" w:eastAsia="仿宋" w:cs="仿宋"/>
          <w:sz w:val="24"/>
          <w:szCs w:val="24"/>
        </w:rPr>
      </w:pPr>
      <w:r>
        <w:rPr>
          <w:rFonts w:hint="eastAsia" w:ascii="仿宋" w:hAnsi="仿宋" w:eastAsia="仿宋" w:cs="仿宋"/>
          <w:sz w:val="24"/>
          <w:szCs w:val="24"/>
        </w:rPr>
        <w:t>附件3：</w:t>
      </w:r>
    </w:p>
    <w:p>
      <w:pPr>
        <w:snapToGrid w:val="0"/>
        <w:spacing w:line="360" w:lineRule="auto"/>
        <w:jc w:val="center"/>
        <w:rPr>
          <w:rFonts w:ascii="仿宋" w:hAnsi="仿宋" w:eastAsia="仿宋" w:cs="仿宋"/>
        </w:rPr>
      </w:pPr>
      <w:r>
        <w:rPr>
          <w:rFonts w:hint="eastAsia" w:ascii="仿宋" w:hAnsi="仿宋" w:eastAsia="仿宋" w:cs="仿宋"/>
          <w:sz w:val="24"/>
          <w:szCs w:val="24"/>
        </w:rPr>
        <w:t>勘察现场登记表</w:t>
      </w:r>
    </w:p>
    <w:p>
      <w:pPr>
        <w:spacing w:line="360" w:lineRule="auto"/>
        <w:rPr>
          <w:rFonts w:ascii="仿宋" w:hAnsi="仿宋" w:eastAsia="仿宋" w:cs="仿宋"/>
        </w:rPr>
      </w:pPr>
      <w:r>
        <w:rPr>
          <w:rFonts w:hint="eastAsia" w:ascii="仿宋" w:hAnsi="仿宋" w:eastAsia="仿宋" w:cs="仿宋"/>
          <w:sz w:val="24"/>
          <w:szCs w:val="24"/>
        </w:rPr>
        <w:t xml:space="preserve">                                                     年   月   日</w:t>
      </w:r>
    </w:p>
    <w:tbl>
      <w:tblPr>
        <w:tblStyle w:val="20"/>
        <w:tblW w:w="8533" w:type="dxa"/>
        <w:tblInd w:w="-5" w:type="dxa"/>
        <w:tblLayout w:type="fixed"/>
        <w:tblCellMar>
          <w:top w:w="0" w:type="dxa"/>
          <w:left w:w="108" w:type="dxa"/>
          <w:bottom w:w="0" w:type="dxa"/>
          <w:right w:w="108" w:type="dxa"/>
        </w:tblCellMar>
      </w:tblPr>
      <w:tblGrid>
        <w:gridCol w:w="3917"/>
        <w:gridCol w:w="4616"/>
      </w:tblGrid>
      <w:tr>
        <w:tblPrEx>
          <w:tblCellMar>
            <w:top w:w="0" w:type="dxa"/>
            <w:left w:w="108" w:type="dxa"/>
            <w:bottom w:w="0" w:type="dxa"/>
            <w:right w:w="108" w:type="dxa"/>
          </w:tblCellMar>
        </w:tblPrEx>
        <w:trPr>
          <w:trHeight w:val="858"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960"/>
              </w:tabs>
              <w:spacing w:line="360" w:lineRule="auto"/>
              <w:rPr>
                <w:rFonts w:ascii="仿宋" w:hAnsi="仿宋" w:eastAsia="仿宋" w:cs="仿宋"/>
              </w:rPr>
            </w:pPr>
            <w:r>
              <w:rPr>
                <w:rFonts w:hint="eastAsia" w:ascii="仿宋" w:hAnsi="仿宋" w:eastAsia="仿宋" w:cs="仿宋"/>
                <w:sz w:val="24"/>
                <w:szCs w:val="24"/>
              </w:rPr>
              <w:t>项目名称：</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项目编号：</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项目包号：</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勘察地点：</w:t>
            </w:r>
          </w:p>
        </w:tc>
      </w:tr>
      <w:tr>
        <w:tblPrEx>
          <w:tblCellMar>
            <w:top w:w="0" w:type="dxa"/>
            <w:left w:w="108" w:type="dxa"/>
            <w:bottom w:w="0" w:type="dxa"/>
            <w:right w:w="108" w:type="dxa"/>
          </w:tblCellMar>
        </w:tblPrEx>
        <w:trPr>
          <w:trHeight w:val="886"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采购单位：</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参加人员签名：</w:t>
            </w:r>
          </w:p>
        </w:tc>
      </w:tr>
      <w:tr>
        <w:tblPrEx>
          <w:tblCellMar>
            <w:top w:w="0" w:type="dxa"/>
            <w:left w:w="108" w:type="dxa"/>
            <w:bottom w:w="0" w:type="dxa"/>
            <w:right w:w="108" w:type="dxa"/>
          </w:tblCellMar>
        </w:tblPrEx>
        <w:trPr>
          <w:trHeight w:val="914"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供应商：</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参加人员签名：</w:t>
            </w:r>
          </w:p>
        </w:tc>
      </w:tr>
    </w:tbl>
    <w:p>
      <w:pPr>
        <w:snapToGrid w:val="0"/>
        <w:spacing w:line="360" w:lineRule="auto"/>
        <w:rPr>
          <w:rFonts w:ascii="仿宋" w:hAnsi="仿宋" w:eastAsia="仿宋" w:cs="仿宋"/>
          <w:sz w:val="24"/>
          <w:szCs w:val="24"/>
        </w:rPr>
      </w:pPr>
      <w:r>
        <w:rPr>
          <w:rFonts w:hint="eastAsia" w:ascii="仿宋" w:hAnsi="仿宋" w:eastAsia="仿宋" w:cs="仿宋"/>
          <w:kern w:val="2"/>
          <w:sz w:val="24"/>
          <w:szCs w:val="24"/>
        </w:rPr>
        <w:t>本项目勘察现场供应商需进行签字确认并将此表附在响应文件中。</w:t>
      </w:r>
    </w:p>
    <w:p>
      <w:pPr>
        <w:widowControl/>
        <w:autoSpaceDE w:val="0"/>
        <w:autoSpaceDN w:val="0"/>
        <w:adjustRightInd w:val="0"/>
        <w:spacing w:line="440" w:lineRule="exact"/>
        <w:ind w:right="-481" w:firstLine="720"/>
        <w:jc w:val="center"/>
        <w:rPr>
          <w:rStyle w:val="49"/>
          <w:rFonts w:cs="仿宋"/>
          <w:sz w:val="24"/>
          <w:szCs w:val="24"/>
        </w:rPr>
      </w:pPr>
    </w:p>
    <w:p>
      <w:pPr>
        <w:snapToGrid w:val="0"/>
        <w:spacing w:line="360" w:lineRule="auto"/>
        <w:rPr>
          <w:rFonts w:ascii="仿宋" w:hAnsi="仿宋" w:eastAsia="仿宋" w:cs="仿宋"/>
          <w:sz w:val="24"/>
          <w:szCs w:val="24"/>
        </w:rPr>
      </w:pPr>
    </w:p>
    <w:p>
      <w:pPr>
        <w:widowControl/>
        <w:suppressAutoHyphens w:val="0"/>
        <w:jc w:val="left"/>
        <w:rPr>
          <w:rFonts w:ascii="仿宋" w:hAnsi="仿宋" w:eastAsia="仿宋" w:cs="仿宋"/>
          <w:sz w:val="24"/>
          <w:szCs w:val="24"/>
        </w:rPr>
      </w:pPr>
      <w:r>
        <w:rPr>
          <w:rFonts w:hint="eastAsia" w:ascii="仿宋" w:hAnsi="仿宋" w:eastAsia="仿宋" w:cs="仿宋"/>
          <w:sz w:val="24"/>
          <w:szCs w:val="24"/>
        </w:rPr>
        <w:br w:type="page"/>
      </w:r>
    </w:p>
    <w:p>
      <w:pPr>
        <w:pStyle w:val="4"/>
        <w:jc w:val="center"/>
        <w:rPr>
          <w:rFonts w:ascii="仿宋" w:hAnsi="仿宋" w:eastAsia="仿宋" w:cs="仿宋"/>
          <w:b w:val="0"/>
        </w:rPr>
      </w:pPr>
      <w:bookmarkStart w:id="51" w:name="_Toc8406"/>
      <w:bookmarkStart w:id="52" w:name="_Toc535048522"/>
      <w:r>
        <w:rPr>
          <w:rFonts w:hint="eastAsia" w:ascii="仿宋" w:hAnsi="仿宋" w:eastAsia="仿宋" w:cs="仿宋"/>
          <w:b w:val="0"/>
        </w:rPr>
        <w:t>密封件封面格式</w:t>
      </w:r>
      <w:bookmarkEnd w:id="51"/>
      <w:bookmarkEnd w:id="52"/>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7" w:hRule="atLeast"/>
          <w:jc w:val="center"/>
        </w:trPr>
        <w:tc>
          <w:tcPr>
            <w:tcW w:w="9083" w:type="dxa"/>
          </w:tcPr>
          <w:p>
            <w:pPr>
              <w:pStyle w:val="9"/>
              <w:spacing w:line="240" w:lineRule="auto"/>
              <w:ind w:firstLine="0" w:firstLineChars="0"/>
              <w:jc w:val="center"/>
              <w:rPr>
                <w:rFonts w:ascii="仿宋" w:hAnsi="仿宋" w:eastAsia="仿宋" w:cs="仿宋"/>
                <w:sz w:val="40"/>
              </w:rPr>
            </w:pPr>
          </w:p>
          <w:p>
            <w:pPr>
              <w:pStyle w:val="9"/>
              <w:spacing w:line="240" w:lineRule="auto"/>
              <w:ind w:firstLine="0" w:firstLineChars="0"/>
              <w:jc w:val="center"/>
              <w:rPr>
                <w:rFonts w:ascii="仿宋" w:hAnsi="仿宋" w:eastAsia="仿宋" w:cs="仿宋"/>
                <w:sz w:val="36"/>
              </w:rPr>
            </w:pPr>
            <w:r>
              <w:rPr>
                <w:rFonts w:hint="eastAsia" w:ascii="仿宋" w:hAnsi="仿宋" w:eastAsia="仿宋" w:cs="仿宋"/>
                <w:sz w:val="36"/>
              </w:rPr>
              <w:t>报价一览表</w:t>
            </w:r>
          </w:p>
          <w:p>
            <w:pPr>
              <w:pStyle w:val="9"/>
              <w:spacing w:line="240" w:lineRule="auto"/>
              <w:ind w:firstLine="0" w:firstLineChars="0"/>
              <w:jc w:val="center"/>
              <w:rPr>
                <w:rFonts w:ascii="仿宋" w:hAnsi="仿宋" w:eastAsia="仿宋" w:cs="仿宋"/>
                <w:sz w:val="36"/>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jc w:val="center"/>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40"/>
              </w:rPr>
            </w:pPr>
          </w:p>
        </w:tc>
      </w:tr>
    </w:tbl>
    <w:p>
      <w:pPr>
        <w:rPr>
          <w:rFonts w:ascii="仿宋" w:hAnsi="仿宋" w:eastAsia="仿宋" w:cs="仿宋"/>
        </w:rPr>
      </w:pPr>
    </w:p>
    <w:p>
      <w:pPr>
        <w:rPr>
          <w:rFonts w:ascii="仿宋" w:hAnsi="仿宋" w:eastAsia="仿宋" w:cs="仿宋"/>
        </w:rPr>
      </w:pPr>
    </w:p>
    <w:tbl>
      <w:tblPr>
        <w:tblStyle w:val="20"/>
        <w:tblpPr w:leftFromText="180" w:rightFromText="180" w:vertAnchor="text" w:horzAnchor="margin" w:tblpY="56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52"/>
                <w:szCs w:val="52"/>
              </w:rPr>
            </w:pPr>
            <w:r>
              <w:rPr>
                <w:rFonts w:hint="eastAsia" w:ascii="仿宋" w:hAnsi="仿宋" w:eastAsia="仿宋" w:cs="仿宋"/>
                <w:sz w:val="52"/>
                <w:szCs w:val="52"/>
              </w:rPr>
              <w:t>响应文件</w:t>
            </w:r>
          </w:p>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正本</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pStyle w:val="2"/>
      </w:pPr>
    </w:p>
    <w:tbl>
      <w:tblPr>
        <w:tblStyle w:val="20"/>
        <w:tblpPr w:leftFromText="180" w:rightFromText="180" w:vertAnchor="text" w:horzAnchor="margin" w:tblpY="39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响应文件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副本</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pStyle w:val="2"/>
      </w:pPr>
    </w:p>
    <w:tbl>
      <w:tblPr>
        <w:tblStyle w:val="20"/>
        <w:tblpPr w:leftFromText="180" w:rightFromText="180" w:vertAnchor="text" w:horzAnchor="margin" w:tblpY="139"/>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vanish/>
        </w:rPr>
      </w:pPr>
      <w:r>
        <w:rPr>
          <w:rFonts w:hint="eastAsia" w:ascii="仿宋" w:hAnsi="仿宋" w:eastAsia="仿宋" w:cs="仿宋"/>
        </w:rPr>
        <w:br w:type="page"/>
      </w: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资质证明文件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rPr>
          <w:rFonts w:ascii="仿宋" w:hAnsi="仿宋" w:eastAsia="仿宋" w:cs="仿宋"/>
        </w:rPr>
      </w:pPr>
    </w:p>
    <w:tbl>
      <w:tblPr>
        <w:tblStyle w:val="20"/>
        <w:tblpPr w:leftFromText="180" w:rightFromText="180" w:vertAnchor="text" w:horzAnchor="margin" w:tblpY="35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p>
      <w:pPr>
        <w:rPr>
          <w:rFonts w:ascii="仿宋" w:hAnsi="仿宋" w:eastAsia="仿宋" w:cs="仿宋"/>
        </w:rPr>
      </w:pPr>
    </w:p>
    <w:tbl>
      <w:tblPr>
        <w:tblStyle w:val="20"/>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8" w:hRule="atLeast"/>
          <w:jc w:val="center"/>
        </w:trPr>
        <w:tc>
          <w:tcPr>
            <w:tcW w:w="9083" w:type="dxa"/>
          </w:tcPr>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响应文件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（电子版）</w:t>
            </w: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44"/>
                <w:szCs w:val="52"/>
              </w:rPr>
            </w:pPr>
            <w:r>
              <w:rPr>
                <w:rFonts w:hint="eastAsia" w:ascii="仿宋" w:hAnsi="仿宋" w:eastAsia="仿宋" w:cs="仿宋"/>
                <w:sz w:val="36"/>
                <w:szCs w:val="44"/>
              </w:rPr>
              <w:t>电话：</w:t>
            </w:r>
          </w:p>
        </w:tc>
      </w:tr>
    </w:tbl>
    <w:p>
      <w:pPr>
        <w:rPr>
          <w:rFonts w:ascii="仿宋" w:hAnsi="仿宋" w:eastAsia="仿宋" w:cs="仿宋"/>
          <w:vanish/>
        </w:rPr>
      </w:pPr>
    </w:p>
    <w:p/>
    <w:p>
      <w:pPr>
        <w:pStyle w:val="2"/>
      </w:pP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sectPr>
      <w:pgSz w:w="11907" w:h="16840"/>
      <w:pgMar w:top="1247" w:right="1418" w:bottom="1247"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pPr>
    <w:r>
      <w:rPr>
        <w:kern w:val="0"/>
      </w:rPr>
      <w:drawing>
        <wp:inline distT="0" distB="0" distL="0" distR="0">
          <wp:extent cx="390525" cy="390525"/>
          <wp:effectExtent l="0" t="0" r="9525" b="9525"/>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390525"/>
                  </a:xfrm>
                  <a:prstGeom prst="rect">
                    <a:avLst/>
                  </a:prstGeom>
                  <a:noFill/>
                  <a:ln>
                    <a:noFill/>
                  </a:ln>
                </pic:spPr>
              </pic:pic>
            </a:graphicData>
          </a:graphic>
        </wp:inline>
      </w:drawing>
    </w:r>
    <w:r>
      <w:rPr>
        <w:rFonts w:hint="eastAsia"/>
        <w:lang w:eastAsia="zh-CN"/>
      </w:rPr>
      <w:t>SDSHZB2020-141</w:t>
    </w:r>
    <w:r>
      <w:rPr>
        <w:rFonts w:hint="eastAsia"/>
      </w:rPr>
      <w:t xml:space="preserve">                                           山东盛和招标代理有限公司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DF2"/>
    <w:multiLevelType w:val="multilevel"/>
    <w:tmpl w:val="16CB2DF2"/>
    <w:lvl w:ilvl="0" w:tentative="0">
      <w:start w:val="1"/>
      <w:numFmt w:val="chineseCountingThousand"/>
      <w:lvlText w:val="第%1条"/>
      <w:lvlJc w:val="left"/>
      <w:pPr>
        <w:tabs>
          <w:tab w:val="left" w:pos="720"/>
        </w:tabs>
        <w:ind w:left="720" w:hanging="720"/>
      </w:pPr>
      <w:rPr>
        <w:rFonts w:hint="eastAsia" w:eastAsia="黑体"/>
        <w:b w:val="0"/>
        <w:i w:val="0"/>
      </w:rPr>
    </w:lvl>
    <w:lvl w:ilvl="1" w:tentative="0">
      <w:start w:val="1"/>
      <w:numFmt w:val="decimal"/>
      <w:lvlText w:val="%2."/>
      <w:lvlJc w:val="left"/>
      <w:pPr>
        <w:tabs>
          <w:tab w:val="left" w:pos="510"/>
        </w:tabs>
        <w:ind w:left="0" w:firstLine="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9870558"/>
    <w:multiLevelType w:val="multilevel"/>
    <w:tmpl w:val="79870558"/>
    <w:lvl w:ilvl="0" w:tentative="0">
      <w:start w:val="1"/>
      <w:numFmt w:val="japaneseCounting"/>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9F"/>
    <w:rsid w:val="00047B7C"/>
    <w:rsid w:val="00052653"/>
    <w:rsid w:val="00071EBD"/>
    <w:rsid w:val="0007426C"/>
    <w:rsid w:val="00076021"/>
    <w:rsid w:val="00092523"/>
    <w:rsid w:val="000A1F65"/>
    <w:rsid w:val="000B078D"/>
    <w:rsid w:val="001343AC"/>
    <w:rsid w:val="001354E9"/>
    <w:rsid w:val="00175D44"/>
    <w:rsid w:val="001815B9"/>
    <w:rsid w:val="001B24C4"/>
    <w:rsid w:val="001B6E85"/>
    <w:rsid w:val="001B779F"/>
    <w:rsid w:val="001C10BE"/>
    <w:rsid w:val="001C34FC"/>
    <w:rsid w:val="001C62FA"/>
    <w:rsid w:val="001D12EC"/>
    <w:rsid w:val="001E02BF"/>
    <w:rsid w:val="001E3E15"/>
    <w:rsid w:val="001E5419"/>
    <w:rsid w:val="00216EB0"/>
    <w:rsid w:val="002475F1"/>
    <w:rsid w:val="00262448"/>
    <w:rsid w:val="00262FBC"/>
    <w:rsid w:val="00293030"/>
    <w:rsid w:val="002C397E"/>
    <w:rsid w:val="00331911"/>
    <w:rsid w:val="00352152"/>
    <w:rsid w:val="0035513C"/>
    <w:rsid w:val="003561E1"/>
    <w:rsid w:val="0039567B"/>
    <w:rsid w:val="003A59E7"/>
    <w:rsid w:val="003B3F1D"/>
    <w:rsid w:val="003D09F5"/>
    <w:rsid w:val="003F10AF"/>
    <w:rsid w:val="003F1282"/>
    <w:rsid w:val="0040059C"/>
    <w:rsid w:val="00425F27"/>
    <w:rsid w:val="00437193"/>
    <w:rsid w:val="00452942"/>
    <w:rsid w:val="004572E4"/>
    <w:rsid w:val="00497D5C"/>
    <w:rsid w:val="004A3A28"/>
    <w:rsid w:val="00522EB4"/>
    <w:rsid w:val="00532D15"/>
    <w:rsid w:val="005406C5"/>
    <w:rsid w:val="00552344"/>
    <w:rsid w:val="005829D3"/>
    <w:rsid w:val="005C03C1"/>
    <w:rsid w:val="00665EA7"/>
    <w:rsid w:val="00666CC4"/>
    <w:rsid w:val="00693ABB"/>
    <w:rsid w:val="006B4BB5"/>
    <w:rsid w:val="006E258E"/>
    <w:rsid w:val="00712298"/>
    <w:rsid w:val="00771DAB"/>
    <w:rsid w:val="007844C2"/>
    <w:rsid w:val="0078656B"/>
    <w:rsid w:val="00792772"/>
    <w:rsid w:val="00792825"/>
    <w:rsid w:val="007A10E2"/>
    <w:rsid w:val="007C3309"/>
    <w:rsid w:val="0081709E"/>
    <w:rsid w:val="00820E3C"/>
    <w:rsid w:val="0082417F"/>
    <w:rsid w:val="008729C7"/>
    <w:rsid w:val="00881D04"/>
    <w:rsid w:val="00893AD9"/>
    <w:rsid w:val="008F5991"/>
    <w:rsid w:val="00920BE7"/>
    <w:rsid w:val="00932852"/>
    <w:rsid w:val="00933530"/>
    <w:rsid w:val="00952A95"/>
    <w:rsid w:val="0096591A"/>
    <w:rsid w:val="00971A34"/>
    <w:rsid w:val="009755B7"/>
    <w:rsid w:val="009909E8"/>
    <w:rsid w:val="00996B4A"/>
    <w:rsid w:val="009B0EE1"/>
    <w:rsid w:val="00A249E8"/>
    <w:rsid w:val="00A27027"/>
    <w:rsid w:val="00A2752B"/>
    <w:rsid w:val="00A27D3B"/>
    <w:rsid w:val="00A54188"/>
    <w:rsid w:val="00A66F02"/>
    <w:rsid w:val="00A87CCB"/>
    <w:rsid w:val="00A9780C"/>
    <w:rsid w:val="00B06AD6"/>
    <w:rsid w:val="00B079A4"/>
    <w:rsid w:val="00B14533"/>
    <w:rsid w:val="00B25CF2"/>
    <w:rsid w:val="00B42B22"/>
    <w:rsid w:val="00B6561D"/>
    <w:rsid w:val="00B80ACE"/>
    <w:rsid w:val="00BA43C7"/>
    <w:rsid w:val="00BA5EDC"/>
    <w:rsid w:val="00BE09D5"/>
    <w:rsid w:val="00C43032"/>
    <w:rsid w:val="00C66EE4"/>
    <w:rsid w:val="00C7595F"/>
    <w:rsid w:val="00CA55B5"/>
    <w:rsid w:val="00CB0AB4"/>
    <w:rsid w:val="00CB2507"/>
    <w:rsid w:val="00CC6E06"/>
    <w:rsid w:val="00CC7069"/>
    <w:rsid w:val="00CF745F"/>
    <w:rsid w:val="00D1636E"/>
    <w:rsid w:val="00D215B9"/>
    <w:rsid w:val="00D2719F"/>
    <w:rsid w:val="00D43862"/>
    <w:rsid w:val="00D62433"/>
    <w:rsid w:val="00D93564"/>
    <w:rsid w:val="00D9735F"/>
    <w:rsid w:val="00DB4C24"/>
    <w:rsid w:val="00DC3C72"/>
    <w:rsid w:val="00DE2A23"/>
    <w:rsid w:val="00DE3E43"/>
    <w:rsid w:val="00DF74C0"/>
    <w:rsid w:val="00E1295E"/>
    <w:rsid w:val="00E25CD6"/>
    <w:rsid w:val="00E3167C"/>
    <w:rsid w:val="00E370A0"/>
    <w:rsid w:val="00E51C7F"/>
    <w:rsid w:val="00E56245"/>
    <w:rsid w:val="00ED60AA"/>
    <w:rsid w:val="00EE3D8C"/>
    <w:rsid w:val="00EE6FEF"/>
    <w:rsid w:val="00EF3321"/>
    <w:rsid w:val="00F5395D"/>
    <w:rsid w:val="00F61E3D"/>
    <w:rsid w:val="00F6272C"/>
    <w:rsid w:val="00F72E49"/>
    <w:rsid w:val="00FC699B"/>
    <w:rsid w:val="00FF6694"/>
    <w:rsid w:val="01805200"/>
    <w:rsid w:val="066C10FA"/>
    <w:rsid w:val="07026B72"/>
    <w:rsid w:val="078E2457"/>
    <w:rsid w:val="07E5630C"/>
    <w:rsid w:val="097C120A"/>
    <w:rsid w:val="0A8D0A26"/>
    <w:rsid w:val="0B0B3F51"/>
    <w:rsid w:val="0C2D0965"/>
    <w:rsid w:val="0CF41B9C"/>
    <w:rsid w:val="12D6714E"/>
    <w:rsid w:val="14FE7939"/>
    <w:rsid w:val="167550D8"/>
    <w:rsid w:val="1765216E"/>
    <w:rsid w:val="184F35BA"/>
    <w:rsid w:val="190D5294"/>
    <w:rsid w:val="1BA60EE5"/>
    <w:rsid w:val="1C527F53"/>
    <w:rsid w:val="1C923894"/>
    <w:rsid w:val="220B4DDE"/>
    <w:rsid w:val="22142AFB"/>
    <w:rsid w:val="262C54CD"/>
    <w:rsid w:val="263D7B91"/>
    <w:rsid w:val="26F521CA"/>
    <w:rsid w:val="27545568"/>
    <w:rsid w:val="278134B3"/>
    <w:rsid w:val="2AA17B1A"/>
    <w:rsid w:val="2BA7324C"/>
    <w:rsid w:val="30FE5DC4"/>
    <w:rsid w:val="31466D9C"/>
    <w:rsid w:val="366467B4"/>
    <w:rsid w:val="375362E9"/>
    <w:rsid w:val="39841A49"/>
    <w:rsid w:val="4118381D"/>
    <w:rsid w:val="460A4AE1"/>
    <w:rsid w:val="4A1F3DE7"/>
    <w:rsid w:val="4C4D69F0"/>
    <w:rsid w:val="4D88302F"/>
    <w:rsid w:val="4E6D4197"/>
    <w:rsid w:val="4F4475D0"/>
    <w:rsid w:val="50D02EF3"/>
    <w:rsid w:val="541D7CCC"/>
    <w:rsid w:val="54CF7028"/>
    <w:rsid w:val="5A69191E"/>
    <w:rsid w:val="5E8A23C4"/>
    <w:rsid w:val="5ED91FC8"/>
    <w:rsid w:val="5F417240"/>
    <w:rsid w:val="5FD8567C"/>
    <w:rsid w:val="60403C91"/>
    <w:rsid w:val="664B49E7"/>
    <w:rsid w:val="67003135"/>
    <w:rsid w:val="679F3813"/>
    <w:rsid w:val="67FC4524"/>
    <w:rsid w:val="6A3C3B2B"/>
    <w:rsid w:val="6E6C3165"/>
    <w:rsid w:val="72AE5C71"/>
    <w:rsid w:val="74B31199"/>
    <w:rsid w:val="74CF55B7"/>
    <w:rsid w:val="755725CA"/>
    <w:rsid w:val="78BA3CDE"/>
    <w:rsid w:val="792B2D27"/>
    <w:rsid w:val="79BC286D"/>
    <w:rsid w:val="7F72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1"/>
      <w:sz w:val="28"/>
      <w:lang w:val="en-US" w:eastAsia="zh-CN" w:bidi="ar-SA"/>
    </w:rPr>
  </w:style>
  <w:style w:type="paragraph" w:styleId="3">
    <w:name w:val="heading 1"/>
    <w:basedOn w:val="1"/>
    <w:next w:val="1"/>
    <w:link w:val="27"/>
    <w:qFormat/>
    <w:uiPriority w:val="99"/>
    <w:pPr>
      <w:keepNext/>
      <w:keepLines/>
      <w:spacing w:before="340" w:after="330" w:line="480" w:lineRule="auto"/>
      <w:outlineLvl w:val="0"/>
    </w:pPr>
    <w:rPr>
      <w:b/>
      <w:sz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2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0"/>
    <w:qFormat/>
    <w:uiPriority w:val="0"/>
    <w:pPr>
      <w:keepNext/>
      <w:outlineLvl w:val="3"/>
    </w:pPr>
    <w:rPr>
      <w:kern w:val="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948"/>
      </w:tabs>
      <w:spacing w:line="360" w:lineRule="exact"/>
    </w:pPr>
    <w:rPr>
      <w:rFonts w:ascii="宋体" w:hAnsi="宋体" w:cs="宋体"/>
      <w:sz w:val="21"/>
      <w:szCs w:val="44"/>
    </w:rPr>
  </w:style>
  <w:style w:type="paragraph" w:styleId="7">
    <w:name w:val="annotation text"/>
    <w:basedOn w:val="1"/>
    <w:link w:val="33"/>
    <w:qFormat/>
    <w:uiPriority w:val="99"/>
    <w:pPr>
      <w:jc w:val="left"/>
    </w:pPr>
  </w:style>
  <w:style w:type="paragraph" w:styleId="8">
    <w:name w:val="Body Text"/>
    <w:basedOn w:val="1"/>
    <w:link w:val="31"/>
    <w:semiHidden/>
    <w:unhideWhenUsed/>
    <w:qFormat/>
    <w:uiPriority w:val="99"/>
    <w:pPr>
      <w:spacing w:after="120"/>
    </w:pPr>
  </w:style>
  <w:style w:type="paragraph" w:styleId="9">
    <w:name w:val="Body Text Indent"/>
    <w:basedOn w:val="1"/>
    <w:link w:val="34"/>
    <w:qFormat/>
    <w:uiPriority w:val="99"/>
    <w:pPr>
      <w:spacing w:line="480" w:lineRule="exact"/>
      <w:ind w:firstLine="538" w:firstLineChars="192"/>
      <w:jc w:val="left"/>
    </w:pPr>
    <w:rPr>
      <w:rFonts w:ascii="宋体"/>
      <w:kern w:val="2"/>
      <w:szCs w:val="24"/>
    </w:rPr>
  </w:style>
  <w:style w:type="paragraph" w:styleId="10">
    <w:name w:val="toc 3"/>
    <w:basedOn w:val="1"/>
    <w:next w:val="1"/>
    <w:unhideWhenUsed/>
    <w:qFormat/>
    <w:uiPriority w:val="39"/>
    <w:pPr>
      <w:ind w:left="840" w:leftChars="400"/>
    </w:pPr>
  </w:style>
  <w:style w:type="paragraph" w:styleId="11">
    <w:name w:val="Balloon Text"/>
    <w:basedOn w:val="1"/>
    <w:link w:val="35"/>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7"/>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4">
    <w:name w:val="toc 4"/>
    <w:basedOn w:val="1"/>
    <w:next w:val="1"/>
    <w:semiHidden/>
    <w:unhideWhenUsed/>
    <w:qFormat/>
    <w:uiPriority w:val="0"/>
    <w:pPr>
      <w:ind w:left="1260" w:leftChars="600"/>
    </w:pPr>
  </w:style>
  <w:style w:type="paragraph" w:styleId="15">
    <w:name w:val="toc 2"/>
    <w:basedOn w:val="1"/>
    <w:next w:val="1"/>
    <w:qFormat/>
    <w:uiPriority w:val="39"/>
    <w:pPr>
      <w:ind w:left="420"/>
    </w:pPr>
    <w:rPr>
      <w:rFonts w:ascii="宋体" w:hAnsi="宋体"/>
      <w:bCs/>
      <w:szCs w:val="24"/>
    </w:rPr>
  </w:style>
  <w:style w:type="paragraph" w:styleId="16">
    <w:name w:val="Normal (Web)"/>
    <w:basedOn w:val="1"/>
    <w:qFormat/>
    <w:uiPriority w:val="0"/>
    <w:rPr>
      <w:sz w:val="24"/>
    </w:rPr>
  </w:style>
  <w:style w:type="paragraph" w:styleId="17">
    <w:name w:val="Title"/>
    <w:basedOn w:val="1"/>
    <w:next w:val="1"/>
    <w:link w:val="38"/>
    <w:qFormat/>
    <w:uiPriority w:val="0"/>
    <w:pPr>
      <w:spacing w:before="240" w:after="60"/>
      <w:jc w:val="center"/>
      <w:outlineLvl w:val="0"/>
    </w:pPr>
    <w:rPr>
      <w:rFonts w:ascii="Cambria" w:hAnsi="Cambria"/>
      <w:b/>
      <w:bCs/>
      <w:kern w:val="2"/>
      <w:sz w:val="32"/>
      <w:szCs w:val="32"/>
    </w:rPr>
  </w:style>
  <w:style w:type="paragraph" w:styleId="18">
    <w:name w:val="annotation subject"/>
    <w:basedOn w:val="7"/>
    <w:next w:val="7"/>
    <w:link w:val="39"/>
    <w:qFormat/>
    <w:uiPriority w:val="99"/>
    <w:rPr>
      <w:b/>
      <w:bCs/>
    </w:rPr>
  </w:style>
  <w:style w:type="paragraph" w:styleId="19">
    <w:name w:val="Body Text First Indent"/>
    <w:basedOn w:val="8"/>
    <w:link w:val="32"/>
    <w:semiHidden/>
    <w:unhideWhenUsed/>
    <w:qFormat/>
    <w:uiPriority w:val="99"/>
    <w:pPr>
      <w:ind w:firstLine="420" w:firstLineChars="100"/>
    </w:pPr>
  </w:style>
  <w:style w:type="table" w:styleId="21">
    <w:name w:val="Table Grid"/>
    <w:basedOn w:val="20"/>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unhideWhenUsed/>
    <w:qFormat/>
    <w:uiPriority w:val="0"/>
    <w:rPr>
      <w:rFonts w:cs="Times New Roman"/>
    </w:rPr>
  </w:style>
  <w:style w:type="character" w:styleId="25">
    <w:name w:val="Hyperlink"/>
    <w:qFormat/>
    <w:uiPriority w:val="99"/>
    <w:rPr>
      <w:color w:val="000000"/>
    </w:rPr>
  </w:style>
  <w:style w:type="character" w:styleId="26">
    <w:name w:val="annotation reference"/>
    <w:qFormat/>
    <w:uiPriority w:val="99"/>
    <w:rPr>
      <w:sz w:val="21"/>
      <w:szCs w:val="21"/>
    </w:rPr>
  </w:style>
  <w:style w:type="character" w:customStyle="1" w:styleId="27">
    <w:name w:val="标题 1 Char"/>
    <w:basedOn w:val="22"/>
    <w:link w:val="3"/>
    <w:qFormat/>
    <w:uiPriority w:val="99"/>
    <w:rPr>
      <w:rFonts w:ascii="Times New Roman" w:hAnsi="Times New Roman" w:eastAsia="宋体" w:cs="Times New Roman"/>
      <w:b/>
      <w:kern w:val="1"/>
      <w:sz w:val="44"/>
      <w:szCs w:val="20"/>
    </w:rPr>
  </w:style>
  <w:style w:type="character" w:customStyle="1" w:styleId="28">
    <w:name w:val="标题 2 Char"/>
    <w:basedOn w:val="22"/>
    <w:link w:val="4"/>
    <w:qFormat/>
    <w:uiPriority w:val="0"/>
    <w:rPr>
      <w:rFonts w:ascii="Arial" w:hAnsi="Arial" w:eastAsia="黑体" w:cs="Arial"/>
      <w:b/>
      <w:bCs/>
      <w:kern w:val="1"/>
      <w:sz w:val="32"/>
      <w:szCs w:val="32"/>
    </w:rPr>
  </w:style>
  <w:style w:type="character" w:customStyle="1" w:styleId="29">
    <w:name w:val="标题 3 Char"/>
    <w:basedOn w:val="22"/>
    <w:link w:val="5"/>
    <w:qFormat/>
    <w:uiPriority w:val="0"/>
    <w:rPr>
      <w:rFonts w:ascii="Times New Roman" w:hAnsi="Times New Roman" w:eastAsia="宋体" w:cs="Times New Roman"/>
      <w:b/>
      <w:bCs/>
      <w:kern w:val="1"/>
      <w:sz w:val="32"/>
      <w:szCs w:val="32"/>
    </w:rPr>
  </w:style>
  <w:style w:type="character" w:customStyle="1" w:styleId="30">
    <w:name w:val="标题 4 Char"/>
    <w:basedOn w:val="22"/>
    <w:link w:val="6"/>
    <w:qFormat/>
    <w:uiPriority w:val="0"/>
    <w:rPr>
      <w:rFonts w:ascii="Times New Roman" w:hAnsi="Times New Roman" w:eastAsia="宋体" w:cs="Times New Roman"/>
      <w:sz w:val="28"/>
      <w:szCs w:val="20"/>
    </w:rPr>
  </w:style>
  <w:style w:type="character" w:customStyle="1" w:styleId="31">
    <w:name w:val="正文文本 Char"/>
    <w:basedOn w:val="22"/>
    <w:link w:val="8"/>
    <w:semiHidden/>
    <w:qFormat/>
    <w:uiPriority w:val="99"/>
    <w:rPr>
      <w:rFonts w:ascii="Times New Roman" w:hAnsi="Times New Roman" w:eastAsia="宋体" w:cs="Times New Roman"/>
      <w:kern w:val="1"/>
      <w:sz w:val="28"/>
      <w:szCs w:val="20"/>
    </w:rPr>
  </w:style>
  <w:style w:type="character" w:customStyle="1" w:styleId="32">
    <w:name w:val="正文首行缩进 Char"/>
    <w:basedOn w:val="31"/>
    <w:link w:val="19"/>
    <w:semiHidden/>
    <w:qFormat/>
    <w:uiPriority w:val="99"/>
    <w:rPr>
      <w:rFonts w:ascii="Times New Roman" w:hAnsi="Times New Roman" w:eastAsia="宋体" w:cs="Times New Roman"/>
      <w:kern w:val="1"/>
      <w:sz w:val="28"/>
      <w:szCs w:val="20"/>
    </w:rPr>
  </w:style>
  <w:style w:type="character" w:customStyle="1" w:styleId="33">
    <w:name w:val="批注文字 Char"/>
    <w:basedOn w:val="22"/>
    <w:link w:val="7"/>
    <w:qFormat/>
    <w:uiPriority w:val="99"/>
    <w:rPr>
      <w:rFonts w:ascii="Times New Roman" w:hAnsi="Times New Roman" w:eastAsia="宋体" w:cs="Times New Roman"/>
      <w:kern w:val="1"/>
      <w:sz w:val="28"/>
      <w:szCs w:val="20"/>
    </w:rPr>
  </w:style>
  <w:style w:type="character" w:customStyle="1" w:styleId="34">
    <w:name w:val="正文文本缩进 Char"/>
    <w:basedOn w:val="22"/>
    <w:link w:val="9"/>
    <w:qFormat/>
    <w:uiPriority w:val="99"/>
    <w:rPr>
      <w:rFonts w:ascii="宋体" w:hAnsi="Times New Roman" w:eastAsia="宋体" w:cs="Times New Roman"/>
      <w:sz w:val="28"/>
      <w:szCs w:val="24"/>
    </w:rPr>
  </w:style>
  <w:style w:type="character" w:customStyle="1" w:styleId="35">
    <w:name w:val="批注框文本 Char"/>
    <w:basedOn w:val="22"/>
    <w:link w:val="11"/>
    <w:qFormat/>
    <w:uiPriority w:val="0"/>
    <w:rPr>
      <w:rFonts w:ascii="Times New Roman" w:hAnsi="Times New Roman" w:eastAsia="宋体" w:cs="Times New Roman"/>
      <w:kern w:val="1"/>
      <w:sz w:val="18"/>
      <w:szCs w:val="18"/>
    </w:rPr>
  </w:style>
  <w:style w:type="character" w:customStyle="1" w:styleId="36">
    <w:name w:val="页脚 Char"/>
    <w:basedOn w:val="22"/>
    <w:link w:val="12"/>
    <w:qFormat/>
    <w:uiPriority w:val="99"/>
    <w:rPr>
      <w:rFonts w:ascii="Times New Roman" w:hAnsi="Times New Roman" w:eastAsia="宋体" w:cs="Times New Roman"/>
      <w:kern w:val="1"/>
      <w:sz w:val="18"/>
      <w:szCs w:val="18"/>
    </w:rPr>
  </w:style>
  <w:style w:type="character" w:customStyle="1" w:styleId="37">
    <w:name w:val="页眉 Char"/>
    <w:basedOn w:val="22"/>
    <w:link w:val="13"/>
    <w:qFormat/>
    <w:uiPriority w:val="99"/>
    <w:rPr>
      <w:rFonts w:ascii="Times New Roman" w:hAnsi="Times New Roman" w:eastAsia="宋体" w:cs="Times New Roman"/>
      <w:kern w:val="1"/>
      <w:sz w:val="18"/>
      <w:szCs w:val="18"/>
    </w:rPr>
  </w:style>
  <w:style w:type="character" w:customStyle="1" w:styleId="38">
    <w:name w:val="标题 Char"/>
    <w:basedOn w:val="22"/>
    <w:link w:val="17"/>
    <w:qFormat/>
    <w:uiPriority w:val="0"/>
    <w:rPr>
      <w:rFonts w:ascii="Cambria" w:hAnsi="Cambria" w:eastAsia="宋体" w:cs="Times New Roman"/>
      <w:b/>
      <w:bCs/>
      <w:sz w:val="32"/>
      <w:szCs w:val="32"/>
    </w:rPr>
  </w:style>
  <w:style w:type="character" w:customStyle="1" w:styleId="39">
    <w:name w:val="批注主题 Char"/>
    <w:basedOn w:val="33"/>
    <w:link w:val="18"/>
    <w:qFormat/>
    <w:uiPriority w:val="99"/>
    <w:rPr>
      <w:rFonts w:ascii="Times New Roman" w:hAnsi="Times New Roman" w:eastAsia="宋体" w:cs="Times New Roman"/>
      <w:b/>
      <w:bCs/>
      <w:kern w:val="1"/>
      <w:sz w:val="28"/>
      <w:szCs w:val="20"/>
    </w:rPr>
  </w:style>
  <w:style w:type="paragraph" w:customStyle="1" w:styleId="40">
    <w:name w:val="纯文本1"/>
    <w:basedOn w:val="1"/>
    <w:qFormat/>
    <w:uiPriority w:val="0"/>
    <w:rPr>
      <w:rFonts w:ascii="宋体" w:hAnsi="宋体" w:cs="Courier New"/>
      <w:sz w:val="21"/>
    </w:rPr>
  </w:style>
  <w:style w:type="paragraph" w:customStyle="1" w:styleId="41">
    <w:name w:val="列出段落1"/>
    <w:basedOn w:val="1"/>
    <w:link w:val="45"/>
    <w:qFormat/>
    <w:uiPriority w:val="34"/>
    <w:pPr>
      <w:ind w:firstLine="200"/>
    </w:pPr>
    <w:rPr>
      <w:rFonts w:ascii="Calibri" w:hAnsi="Calibri"/>
      <w:sz w:val="21"/>
      <w:szCs w:val="22"/>
    </w:rPr>
  </w:style>
  <w:style w:type="paragraph" w:customStyle="1" w:styleId="42">
    <w:name w:val="列出段落2"/>
    <w:basedOn w:val="1"/>
    <w:unhideWhenUsed/>
    <w:qFormat/>
    <w:uiPriority w:val="99"/>
    <w:pPr>
      <w:ind w:firstLine="420" w:firstLineChars="200"/>
    </w:pPr>
  </w:style>
  <w:style w:type="paragraph" w:customStyle="1" w:styleId="4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44">
    <w:name w:val="WW8Num3z8"/>
    <w:qFormat/>
    <w:uiPriority w:val="3"/>
  </w:style>
  <w:style w:type="character" w:customStyle="1" w:styleId="45">
    <w:name w:val="列出段落 Char"/>
    <w:link w:val="41"/>
    <w:qFormat/>
    <w:uiPriority w:val="34"/>
    <w:rPr>
      <w:rFonts w:ascii="Calibri" w:hAnsi="Calibri" w:eastAsia="宋体" w:cs="Times New Roman"/>
      <w:kern w:val="1"/>
    </w:rPr>
  </w:style>
  <w:style w:type="character" w:customStyle="1" w:styleId="46">
    <w:name w:val="楷体 (中文) 楷体"/>
    <w:qFormat/>
    <w:uiPriority w:val="0"/>
    <w:rPr>
      <w:rFonts w:ascii="楷体" w:hAnsi="楷体" w:eastAsia="楷体"/>
      <w:kern w:val="1"/>
      <w:sz w:val="28"/>
    </w:rPr>
  </w:style>
  <w:style w:type="paragraph" w:customStyle="1" w:styleId="47">
    <w:name w:val="修订1"/>
    <w:hidden/>
    <w:semiHidden/>
    <w:qFormat/>
    <w:uiPriority w:val="99"/>
    <w:rPr>
      <w:rFonts w:ascii="Times New Roman" w:hAnsi="Times New Roman" w:eastAsia="宋体" w:cs="Times New Roman"/>
      <w:kern w:val="1"/>
      <w:sz w:val="28"/>
      <w:lang w:val="en-US" w:eastAsia="zh-CN" w:bidi="ar-SA"/>
    </w:rPr>
  </w:style>
  <w:style w:type="paragraph" w:customStyle="1" w:styleId="48">
    <w:name w:val="TOC 标题1"/>
    <w:basedOn w:val="3"/>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49">
    <w:name w:val="样式 仿宋"/>
    <w:qFormat/>
    <w:uiPriority w:val="99"/>
    <w:rPr>
      <w:rFonts w:ascii="仿宋" w:hAnsi="仿宋" w:eastAsia="仿宋"/>
      <w:kern w:val="1"/>
    </w:rPr>
  </w:style>
  <w:style w:type="paragraph" w:customStyle="1" w:styleId="50">
    <w:name w:val="列出段落11"/>
    <w:basedOn w:val="1"/>
    <w:qFormat/>
    <w:uiPriority w:val="34"/>
    <w:pPr>
      <w:ind w:firstLine="420" w:firstLineChars="200"/>
    </w:pPr>
    <w:rPr>
      <w:rFonts w:ascii="Calibri" w:hAnsi="Calibri"/>
    </w:rPr>
  </w:style>
  <w:style w:type="character" w:customStyle="1" w:styleId="51">
    <w:name w:val="font31"/>
    <w:basedOn w:val="22"/>
    <w:qFormat/>
    <w:uiPriority w:val="0"/>
    <w:rPr>
      <w:rFonts w:hint="eastAsia" w:ascii="宋体" w:hAnsi="宋体" w:eastAsia="宋体" w:cs="宋体"/>
      <w:color w:val="000000"/>
      <w:sz w:val="20"/>
      <w:szCs w:val="20"/>
      <w:u w:val="none"/>
      <w:vertAlign w:val="superscript"/>
    </w:rPr>
  </w:style>
  <w:style w:type="paragraph" w:styleId="52">
    <w:name w:val="List Paragraph"/>
    <w:basedOn w:val="1"/>
    <w:qFormat/>
    <w:uiPriority w:val="34"/>
    <w:pPr>
      <w:ind w:firstLine="420" w:firstLineChars="200"/>
    </w:pPr>
  </w:style>
  <w:style w:type="paragraph" w:customStyle="1" w:styleId="53">
    <w:name w:val="p0"/>
    <w:basedOn w:val="1"/>
    <w:qFormat/>
    <w:uiPriority w:val="0"/>
    <w:pPr>
      <w:widowControl/>
    </w:pPr>
    <w:rPr>
      <w:kern w:val="0"/>
      <w:szCs w:val="21"/>
    </w:rPr>
  </w:style>
  <w:style w:type="character" w:customStyle="1" w:styleId="54">
    <w:name w:val="font01"/>
    <w:basedOn w:val="22"/>
    <w:qFormat/>
    <w:uiPriority w:val="0"/>
    <w:rPr>
      <w:rFonts w:hint="eastAsia" w:ascii="宋体" w:hAnsi="宋体" w:eastAsia="宋体" w:cs="宋体"/>
      <w:color w:val="000000"/>
      <w:sz w:val="20"/>
      <w:szCs w:val="20"/>
      <w:u w:val="none"/>
    </w:rPr>
  </w:style>
  <w:style w:type="paragraph" w:customStyle="1" w:styleId="55">
    <w:name w:val="张伟正文"/>
    <w:basedOn w:val="1"/>
    <w:qFormat/>
    <w:uiPriority w:val="0"/>
    <w:pPr>
      <w:spacing w:line="280" w:lineRule="exact"/>
      <w:ind w:firstLine="420" w:firstLineChars="200"/>
    </w:pPr>
    <w:rPr>
      <w:rFonts w:ascii="Calibri" w:hAnsi="Calibri"/>
      <w:sz w:val="18"/>
      <w:szCs w:val="18"/>
    </w:rPr>
  </w:style>
  <w:style w:type="character" w:customStyle="1" w:styleId="56">
    <w:name w:val="font21"/>
    <w:basedOn w:val="22"/>
    <w:qFormat/>
    <w:uiPriority w:val="0"/>
    <w:rPr>
      <w:rFonts w:hint="eastAsia" w:ascii="宋体" w:hAnsi="宋体" w:eastAsia="宋体" w:cs="宋体"/>
      <w:color w:val="000000"/>
      <w:sz w:val="20"/>
      <w:szCs w:val="20"/>
      <w:u w:val="none"/>
    </w:rPr>
  </w:style>
  <w:style w:type="paragraph" w:customStyle="1" w:styleId="57">
    <w:name w:val="列表段落1"/>
    <w:basedOn w:val="1"/>
    <w:qFormat/>
    <w:uiPriority w:val="34"/>
    <w:pPr>
      <w:ind w:firstLine="420" w:firstLineChars="200"/>
    </w:pPr>
    <w:rPr>
      <w:rFonts w:ascii="Calibri" w:hAnsi="Calibri"/>
      <w:szCs w:val="22"/>
    </w:rPr>
  </w:style>
  <w:style w:type="paragraph" w:customStyle="1" w:styleId="58">
    <w:name w:val="样式 仿宋 行距: 1.5 倍行距"/>
    <w:basedOn w:val="1"/>
    <w:qFormat/>
    <w:uiPriority w:val="0"/>
    <w:pPr>
      <w:spacing w:line="360" w:lineRule="auto"/>
    </w:pPr>
    <w:rPr>
      <w:rFonts w:ascii="仿宋" w:hAnsi="仿宋" w:eastAsia="仿宋" w:cs="宋体"/>
      <w:sz w:val="24"/>
    </w:rPr>
  </w:style>
  <w:style w:type="character" w:customStyle="1" w:styleId="59">
    <w:name w:val="font61"/>
    <w:basedOn w:val="22"/>
    <w:qFormat/>
    <w:uiPriority w:val="0"/>
    <w:rPr>
      <w:rFonts w:hint="eastAsia" w:ascii="宋体" w:hAnsi="宋体" w:eastAsia="宋体" w:cs="宋体"/>
      <w:color w:val="000000"/>
      <w:sz w:val="20"/>
      <w:szCs w:val="20"/>
      <w:u w:val="none"/>
    </w:rPr>
  </w:style>
  <w:style w:type="character" w:customStyle="1" w:styleId="60">
    <w:name w:val="font11"/>
    <w:basedOn w:val="22"/>
    <w:qFormat/>
    <w:uiPriority w:val="0"/>
    <w:rPr>
      <w:rFonts w:hint="default" w:ascii="等线" w:hAnsi="等线" w:eastAsia="等线" w:cs="等线"/>
      <w:color w:val="000000"/>
      <w:sz w:val="20"/>
      <w:szCs w:val="20"/>
      <w:u w:val="none"/>
    </w:rPr>
  </w:style>
  <w:style w:type="character" w:customStyle="1" w:styleId="61">
    <w:name w:val="font131"/>
    <w:basedOn w:val="22"/>
    <w:qFormat/>
    <w:uiPriority w:val="0"/>
    <w:rPr>
      <w:rFonts w:hint="eastAsia" w:ascii="宋体" w:hAnsi="宋体" w:eastAsia="宋体" w:cs="宋体"/>
      <w:color w:val="000000"/>
      <w:sz w:val="20"/>
      <w:szCs w:val="20"/>
      <w:u w:val="none"/>
      <w:vertAlign w:val="superscript"/>
    </w:rPr>
  </w:style>
  <w:style w:type="character" w:customStyle="1" w:styleId="62">
    <w:name w:val="font121"/>
    <w:basedOn w:val="22"/>
    <w:qFormat/>
    <w:uiPriority w:val="0"/>
    <w:rPr>
      <w:rFonts w:hint="eastAsia" w:ascii="宋体" w:hAnsi="宋体" w:eastAsia="宋体" w:cs="宋体"/>
      <w:color w:val="000000"/>
      <w:sz w:val="20"/>
      <w:szCs w:val="20"/>
      <w:u w:val="none"/>
    </w:rPr>
  </w:style>
  <w:style w:type="character" w:customStyle="1" w:styleId="63">
    <w:name w:val="font5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7F758-471D-4514-A503-A3AA2A3866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3763</Words>
  <Characters>21452</Characters>
  <Lines>178</Lines>
  <Paragraphs>50</Paragraphs>
  <TotalTime>175</TotalTime>
  <ScaleCrop>false</ScaleCrop>
  <LinksUpToDate>false</LinksUpToDate>
  <CharactersWithSpaces>25165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2020-02-28T06:53:00Z</dcterms:created>
  <dc:creator>user</dc:creator>
  <cp:lastModifiedBy>MSQ</cp:lastModifiedBy>
  <dcterms:modified xsi:type="dcterms:W3CDTF">2020-04-16T06:55:49Z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