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hint="eastAsia" w:ascii="仿宋" w:hAnsi="仿宋" w:eastAsia="仿宋" w:cs="仿宋"/>
          <w:bCs/>
          <w:sz w:val="44"/>
          <w:szCs w:val="44"/>
          <w:lang w:eastAsia="zh-CN"/>
        </w:rPr>
      </w:pPr>
    </w:p>
    <w:p>
      <w:pPr>
        <w:pStyle w:val="40"/>
        <w:spacing w:line="360" w:lineRule="auto"/>
        <w:jc w:val="center"/>
        <w:rPr>
          <w:rFonts w:ascii="仿宋" w:hAnsi="仿宋" w:eastAsia="仿宋" w:cs="仿宋"/>
          <w:b/>
          <w:bCs/>
          <w:sz w:val="48"/>
          <w:szCs w:val="44"/>
        </w:rPr>
      </w:pPr>
      <w:r>
        <w:rPr>
          <w:rFonts w:hint="eastAsia" w:ascii="仿宋" w:hAnsi="仿宋" w:eastAsia="仿宋" w:cs="仿宋"/>
          <w:b/>
          <w:bCs/>
          <w:sz w:val="48"/>
          <w:szCs w:val="44"/>
        </w:rPr>
        <w:t>山东科技大学</w:t>
      </w:r>
      <w:r>
        <w:rPr>
          <w:rFonts w:hint="eastAsia" w:ascii="仿宋" w:hAnsi="仿宋" w:eastAsia="仿宋" w:cs="仿宋"/>
          <w:b/>
          <w:bCs/>
          <w:sz w:val="48"/>
          <w:szCs w:val="44"/>
          <w:lang w:eastAsia="zh-CN"/>
        </w:rPr>
        <w:t>餐厅风幕机安装</w:t>
      </w:r>
      <w:r>
        <w:rPr>
          <w:rFonts w:hint="eastAsia" w:ascii="仿宋" w:hAnsi="仿宋" w:eastAsia="仿宋" w:cs="仿宋"/>
          <w:b/>
          <w:bCs/>
          <w:sz w:val="48"/>
          <w:szCs w:val="44"/>
        </w:rPr>
        <w:t>竞争性磋商</w:t>
      </w:r>
    </w:p>
    <w:p>
      <w:pPr>
        <w:pStyle w:val="40"/>
        <w:spacing w:line="360" w:lineRule="auto"/>
        <w:jc w:val="center"/>
        <w:rPr>
          <w:rFonts w:ascii="仿宋" w:hAnsi="仿宋" w:eastAsia="仿宋" w:cs="仿宋"/>
          <w:bCs/>
          <w:sz w:val="44"/>
          <w:szCs w:val="44"/>
        </w:rPr>
      </w:pPr>
      <w:bookmarkStart w:id="53" w:name="_GoBack"/>
      <w:bookmarkEnd w:id="53"/>
    </w:p>
    <w:p>
      <w:pPr>
        <w:overflowPunct w:val="0"/>
        <w:autoSpaceDE w:val="0"/>
        <w:spacing w:line="360" w:lineRule="auto"/>
        <w:ind w:right="-794" w:firstLine="1405" w:firstLineChars="350"/>
        <w:rPr>
          <w:rFonts w:hint="eastAsia" w:ascii="仿宋" w:hAnsi="仿宋" w:eastAsia="仿宋" w:cs="仿宋"/>
          <w:b/>
          <w:bCs/>
          <w:sz w:val="40"/>
          <w:szCs w:val="44"/>
          <w:u w:val="single"/>
          <w:lang w:eastAsia="zh-CN"/>
        </w:rPr>
      </w:pPr>
      <w:r>
        <w:rPr>
          <w:rFonts w:hint="eastAsia" w:ascii="仿宋" w:hAnsi="仿宋" w:eastAsia="仿宋" w:cs="仿宋"/>
          <w:b/>
          <w:bCs/>
          <w:sz w:val="40"/>
          <w:szCs w:val="44"/>
        </w:rPr>
        <w:t>项目编号：</w:t>
      </w:r>
      <w:r>
        <w:rPr>
          <w:rFonts w:hint="eastAsia" w:ascii="仿宋" w:hAnsi="仿宋" w:eastAsia="仿宋" w:cs="仿宋"/>
          <w:b/>
          <w:bCs/>
          <w:sz w:val="40"/>
          <w:szCs w:val="44"/>
          <w:u w:val="single"/>
          <w:lang w:eastAsia="zh-CN"/>
        </w:rPr>
        <w:t>SDSHZB2019-615</w:t>
      </w:r>
    </w:p>
    <w:p>
      <w:pPr>
        <w:snapToGrid w:val="0"/>
        <w:spacing w:line="360" w:lineRule="auto"/>
        <w:rPr>
          <w:rFonts w:ascii="仿宋" w:hAnsi="仿宋" w:eastAsia="仿宋" w:cs="仿宋"/>
          <w:bCs/>
          <w:sz w:val="24"/>
          <w:szCs w:val="24"/>
          <w:u w:val="single"/>
        </w:rPr>
      </w:pPr>
    </w:p>
    <w:p>
      <w:pPr>
        <w:snapToGrid w:val="0"/>
        <w:spacing w:line="360" w:lineRule="auto"/>
        <w:jc w:val="center"/>
        <w:rPr>
          <w:rFonts w:ascii="仿宋" w:hAnsi="仿宋" w:eastAsia="仿宋" w:cs="仿宋"/>
          <w:sz w:val="24"/>
          <w:szCs w:val="24"/>
        </w:rPr>
      </w:pPr>
      <w:r>
        <w:rPr>
          <w:rFonts w:hint="eastAsia" w:ascii="仿宋" w:hAnsi="仿宋" w:eastAsia="仿宋" w:cs="仿宋"/>
        </w:rPr>
        <w:drawing>
          <wp:anchor distT="0" distB="0" distL="0" distR="0" simplePos="0" relativeHeight="251659264"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90115" cy="2190115"/>
                    </a:xfrm>
                    <a:prstGeom prst="rect">
                      <a:avLst/>
                    </a:prstGeom>
                    <a:solidFill>
                      <a:srgbClr val="FFFFFF"/>
                    </a:solidFill>
                  </pic:spPr>
                </pic:pic>
              </a:graphicData>
            </a:graphic>
          </wp:anchor>
        </w:drawing>
      </w: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采购单位： 山东科技大学</w:t>
      </w: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采购代理：山东盛和招标代理有限公司</w:t>
      </w:r>
    </w:p>
    <w:p>
      <w:pPr>
        <w:snapToGrid w:val="0"/>
        <w:spacing w:line="360" w:lineRule="auto"/>
        <w:ind w:firstLine="964"/>
        <w:jc w:val="center"/>
        <w:rPr>
          <w:rFonts w:ascii="仿宋" w:hAnsi="仿宋" w:eastAsia="仿宋" w:cs="仿宋"/>
          <w:b/>
          <w:bCs/>
          <w:sz w:val="24"/>
          <w:szCs w:val="24"/>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 xml:space="preserve">     二零一九年</w:t>
      </w:r>
      <w:r>
        <w:rPr>
          <w:rFonts w:hint="eastAsia" w:ascii="仿宋" w:hAnsi="仿宋" w:eastAsia="仿宋" w:cs="仿宋"/>
          <w:b/>
          <w:bCs/>
          <w:sz w:val="30"/>
          <w:szCs w:val="30"/>
          <w:lang w:eastAsia="zh-CN"/>
        </w:rPr>
        <w:t>十一</w:t>
      </w:r>
      <w:r>
        <w:rPr>
          <w:rFonts w:hint="eastAsia" w:ascii="仿宋" w:hAnsi="仿宋" w:eastAsia="仿宋" w:cs="仿宋"/>
          <w:b/>
          <w:bCs/>
          <w:sz w:val="30"/>
          <w:szCs w:val="30"/>
        </w:rPr>
        <w:t>月</w:t>
      </w:r>
    </w:p>
    <w:p>
      <w:pPr>
        <w:pageBreakBefore/>
        <w:snapToGrid w:val="0"/>
        <w:spacing w:line="360" w:lineRule="auto"/>
        <w:rPr>
          <w:rFonts w:ascii="仿宋" w:hAnsi="仿宋" w:eastAsia="仿宋" w:cs="仿宋"/>
          <w:bCs/>
          <w:sz w:val="24"/>
          <w:szCs w:val="24"/>
        </w:rPr>
      </w:pPr>
    </w:p>
    <w:p>
      <w:pPr>
        <w:overflowPunct w:val="0"/>
        <w:autoSpaceDE w:val="0"/>
        <w:spacing w:line="360" w:lineRule="auto"/>
        <w:ind w:right="-794"/>
        <w:jc w:val="center"/>
        <w:rPr>
          <w:rFonts w:ascii="仿宋" w:hAnsi="仿宋" w:eastAsia="仿宋" w:cs="仿宋"/>
          <w:sz w:val="36"/>
          <w:szCs w:val="36"/>
        </w:rPr>
      </w:pPr>
      <w:r>
        <w:rPr>
          <w:rFonts w:hint="eastAsia" w:ascii="仿宋" w:hAnsi="仿宋" w:eastAsia="仿宋" w:cs="仿宋"/>
          <w:sz w:val="36"/>
          <w:szCs w:val="36"/>
        </w:rPr>
        <w:t>目 录</w:t>
      </w:r>
    </w:p>
    <w:p>
      <w:pPr>
        <w:pStyle w:val="2"/>
        <w:tabs>
          <w:tab w:val="right" w:leader="dot" w:pos="8867"/>
          <w:tab w:val="clear" w:pos="894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_Toc13144 </w:instrText>
      </w:r>
      <w:r>
        <w:rPr>
          <w:rFonts w:hint="eastAsia" w:ascii="仿宋" w:hAnsi="仿宋" w:eastAsia="仿宋" w:cs="仿宋"/>
          <w:sz w:val="24"/>
          <w:szCs w:val="24"/>
        </w:rPr>
        <w:fldChar w:fldCharType="separate"/>
      </w:r>
      <w:r>
        <w:rPr>
          <w:rFonts w:hint="eastAsia" w:ascii="仿宋" w:hAnsi="仿宋" w:eastAsia="仿宋" w:cs="仿宋"/>
          <w:sz w:val="24"/>
          <w:szCs w:val="24"/>
        </w:rPr>
        <w:t>第一章 响应须知及前附表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_Toc13144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_Toc20427 </w:instrText>
      </w:r>
      <w:r>
        <w:rPr>
          <w:rFonts w:hint="eastAsia" w:ascii="仿宋" w:hAnsi="仿宋" w:eastAsia="仿宋" w:cs="仿宋"/>
          <w:sz w:val="24"/>
          <w:szCs w:val="24"/>
        </w:rPr>
        <w:fldChar w:fldCharType="separate"/>
      </w:r>
      <w:r>
        <w:rPr>
          <w:rFonts w:hint="eastAsia" w:ascii="仿宋" w:hAnsi="仿宋" w:eastAsia="仿宋" w:cs="仿宋"/>
          <w:sz w:val="24"/>
          <w:szCs w:val="24"/>
        </w:rPr>
        <w:t>一、响应须知前附表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_Toc20427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ind w:firstLine="480"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_Toc28203 </w:instrText>
      </w:r>
      <w:r>
        <w:rPr>
          <w:rFonts w:hint="eastAsia" w:ascii="仿宋" w:hAnsi="仿宋" w:eastAsia="仿宋" w:cs="仿宋"/>
          <w:sz w:val="24"/>
          <w:szCs w:val="24"/>
        </w:rPr>
        <w:fldChar w:fldCharType="separate"/>
      </w:r>
      <w:r>
        <w:rPr>
          <w:rFonts w:hint="eastAsia" w:ascii="仿宋" w:hAnsi="仿宋" w:eastAsia="仿宋" w:cs="仿宋"/>
          <w:sz w:val="24"/>
          <w:szCs w:val="24"/>
        </w:rPr>
        <w:t>二、响应须知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_Toc28203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_Toc12818 </w:instrText>
      </w:r>
      <w:r>
        <w:rPr>
          <w:rFonts w:hint="eastAsia" w:ascii="仿宋" w:hAnsi="仿宋" w:eastAsia="仿宋" w:cs="仿宋"/>
          <w:sz w:val="24"/>
          <w:szCs w:val="24"/>
        </w:rPr>
        <w:fldChar w:fldCharType="separate"/>
      </w:r>
      <w:r>
        <w:rPr>
          <w:rFonts w:hint="eastAsia" w:ascii="仿宋" w:hAnsi="仿宋" w:eastAsia="仿宋" w:cs="仿宋"/>
          <w:sz w:val="24"/>
          <w:szCs w:val="24"/>
        </w:rPr>
        <w:t>（一）总  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_Toc12818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_Toc23227 </w:instrText>
      </w:r>
      <w:r>
        <w:rPr>
          <w:rFonts w:hint="eastAsia" w:ascii="仿宋" w:hAnsi="仿宋" w:eastAsia="仿宋" w:cs="仿宋"/>
          <w:sz w:val="24"/>
          <w:szCs w:val="24"/>
        </w:rPr>
        <w:fldChar w:fldCharType="separate"/>
      </w:r>
      <w:r>
        <w:rPr>
          <w:rFonts w:hint="eastAsia" w:ascii="仿宋" w:hAnsi="仿宋" w:eastAsia="仿宋" w:cs="仿宋"/>
          <w:sz w:val="24"/>
          <w:szCs w:val="24"/>
        </w:rPr>
        <w:t>（二）磋商文件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_Toc23227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_Toc20306 </w:instrText>
      </w:r>
      <w:r>
        <w:rPr>
          <w:rFonts w:hint="eastAsia" w:ascii="仿宋" w:hAnsi="仿宋" w:eastAsia="仿宋" w:cs="仿宋"/>
          <w:sz w:val="24"/>
          <w:szCs w:val="24"/>
        </w:rPr>
        <w:fldChar w:fldCharType="separate"/>
      </w:r>
      <w:r>
        <w:rPr>
          <w:rFonts w:hint="eastAsia" w:ascii="仿宋" w:hAnsi="仿宋" w:eastAsia="仿宋" w:cs="仿宋"/>
          <w:sz w:val="24"/>
          <w:szCs w:val="24"/>
        </w:rPr>
        <w:t>（三） 响应文件的编制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_Toc20306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_Toc710 </w:instrText>
      </w:r>
      <w:r>
        <w:rPr>
          <w:rFonts w:hint="eastAsia" w:ascii="仿宋" w:hAnsi="仿宋" w:eastAsia="仿宋" w:cs="仿宋"/>
          <w:sz w:val="24"/>
          <w:szCs w:val="24"/>
        </w:rPr>
        <w:fldChar w:fldCharType="separate"/>
      </w:r>
      <w:r>
        <w:rPr>
          <w:rFonts w:hint="eastAsia" w:ascii="仿宋" w:hAnsi="仿宋" w:eastAsia="仿宋" w:cs="仿宋"/>
          <w:sz w:val="24"/>
          <w:szCs w:val="24"/>
        </w:rPr>
        <w:t>（四）响应文件的提交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_Toc710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_Toc24049 </w:instrText>
      </w:r>
      <w:r>
        <w:rPr>
          <w:rFonts w:hint="eastAsia" w:ascii="仿宋" w:hAnsi="仿宋" w:eastAsia="仿宋" w:cs="仿宋"/>
          <w:sz w:val="24"/>
          <w:szCs w:val="24"/>
        </w:rPr>
        <w:fldChar w:fldCharType="separate"/>
      </w:r>
      <w:r>
        <w:rPr>
          <w:rFonts w:hint="eastAsia" w:ascii="仿宋" w:hAnsi="仿宋" w:eastAsia="仿宋" w:cs="仿宋"/>
          <w:sz w:val="24"/>
          <w:szCs w:val="24"/>
        </w:rPr>
        <w:t>（五）开标会</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_Toc24049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_Toc12363 </w:instrText>
      </w:r>
      <w:r>
        <w:rPr>
          <w:rFonts w:hint="eastAsia" w:ascii="仿宋" w:hAnsi="仿宋" w:eastAsia="仿宋" w:cs="仿宋"/>
          <w:sz w:val="24"/>
          <w:szCs w:val="24"/>
        </w:rPr>
        <w:fldChar w:fldCharType="separate"/>
      </w:r>
      <w:r>
        <w:rPr>
          <w:rFonts w:hint="eastAsia" w:ascii="仿宋" w:hAnsi="仿宋" w:eastAsia="仿宋" w:cs="仿宋"/>
          <w:sz w:val="24"/>
          <w:szCs w:val="24"/>
        </w:rPr>
        <w:t>（六）评审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_Toc12363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_Toc86 </w:instrText>
      </w:r>
      <w:r>
        <w:rPr>
          <w:rFonts w:hint="eastAsia" w:ascii="仿宋" w:hAnsi="仿宋" w:eastAsia="仿宋" w:cs="仿宋"/>
          <w:sz w:val="24"/>
          <w:szCs w:val="24"/>
        </w:rPr>
        <w:fldChar w:fldCharType="separate"/>
      </w:r>
      <w:r>
        <w:rPr>
          <w:rFonts w:hint="eastAsia" w:ascii="仿宋" w:hAnsi="仿宋" w:eastAsia="仿宋" w:cs="仿宋"/>
          <w:sz w:val="24"/>
          <w:szCs w:val="24"/>
        </w:rPr>
        <w:t>（七）定标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_Toc86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_Toc8922 </w:instrText>
      </w:r>
      <w:r>
        <w:rPr>
          <w:rFonts w:hint="eastAsia" w:ascii="仿宋" w:hAnsi="仿宋" w:eastAsia="仿宋" w:cs="仿宋"/>
          <w:sz w:val="24"/>
          <w:szCs w:val="24"/>
        </w:rPr>
        <w:fldChar w:fldCharType="separate"/>
      </w:r>
      <w:r>
        <w:rPr>
          <w:rFonts w:hint="eastAsia" w:ascii="仿宋" w:hAnsi="仿宋" w:eastAsia="仿宋" w:cs="仿宋"/>
          <w:sz w:val="24"/>
          <w:szCs w:val="24"/>
        </w:rPr>
        <w:t>（八）合同的授予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_Toc8922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_Toc2962 </w:instrText>
      </w:r>
      <w:r>
        <w:rPr>
          <w:rFonts w:hint="eastAsia" w:ascii="仿宋" w:hAnsi="仿宋" w:eastAsia="仿宋" w:cs="仿宋"/>
          <w:sz w:val="24"/>
          <w:szCs w:val="24"/>
        </w:rPr>
        <w:fldChar w:fldCharType="separate"/>
      </w:r>
      <w:r>
        <w:rPr>
          <w:rFonts w:hint="eastAsia" w:ascii="仿宋" w:hAnsi="仿宋" w:eastAsia="仿宋" w:cs="仿宋"/>
          <w:sz w:val="24"/>
          <w:szCs w:val="24"/>
        </w:rPr>
        <w:t>第二章 供应商应当提交的资格、资信等证明文件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_Toc2962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_Toc2064 </w:instrText>
      </w:r>
      <w:r>
        <w:rPr>
          <w:rFonts w:hint="eastAsia" w:ascii="仿宋" w:hAnsi="仿宋" w:eastAsia="仿宋" w:cs="仿宋"/>
          <w:sz w:val="24"/>
          <w:szCs w:val="24"/>
        </w:rPr>
        <w:fldChar w:fldCharType="separate"/>
      </w:r>
      <w:r>
        <w:rPr>
          <w:rFonts w:hint="eastAsia" w:ascii="仿宋" w:hAnsi="仿宋" w:eastAsia="仿宋" w:cs="仿宋"/>
          <w:sz w:val="24"/>
          <w:szCs w:val="24"/>
        </w:rPr>
        <w:t>第三章   合同条款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_Toc2064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_Toc14418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第四章   项目说明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_Toc14418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_Toc6472 </w:instrText>
      </w:r>
      <w:r>
        <w:rPr>
          <w:rFonts w:hint="eastAsia" w:ascii="仿宋" w:hAnsi="仿宋" w:eastAsia="仿宋" w:cs="仿宋"/>
          <w:sz w:val="24"/>
          <w:szCs w:val="24"/>
        </w:rPr>
        <w:fldChar w:fldCharType="separate"/>
      </w:r>
      <w:r>
        <w:rPr>
          <w:rFonts w:hint="eastAsia" w:ascii="仿宋" w:hAnsi="仿宋" w:eastAsia="仿宋" w:cs="仿宋"/>
          <w:sz w:val="24"/>
          <w:szCs w:val="24"/>
        </w:rPr>
        <w:t>第五章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_Toc6472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_Toc14436 </w:instrText>
      </w:r>
      <w:r>
        <w:rPr>
          <w:rFonts w:hint="eastAsia" w:ascii="仿宋" w:hAnsi="仿宋" w:eastAsia="仿宋" w:cs="仿宋"/>
          <w:sz w:val="24"/>
          <w:szCs w:val="24"/>
        </w:rPr>
        <w:fldChar w:fldCharType="separate"/>
      </w:r>
      <w:r>
        <w:rPr>
          <w:rFonts w:hint="eastAsia" w:ascii="仿宋" w:hAnsi="仿宋" w:eastAsia="仿宋" w:cs="仿宋"/>
          <w:sz w:val="24"/>
          <w:szCs w:val="24"/>
        </w:rPr>
        <w:t>第一部分 报价函部分格式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_Toc14436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_Toc3980 </w:instrText>
      </w:r>
      <w:r>
        <w:rPr>
          <w:rFonts w:hint="eastAsia" w:ascii="仿宋" w:hAnsi="仿宋" w:eastAsia="仿宋" w:cs="仿宋"/>
          <w:sz w:val="24"/>
          <w:szCs w:val="24"/>
        </w:rPr>
        <w:fldChar w:fldCharType="separate"/>
      </w:r>
      <w:r>
        <w:rPr>
          <w:rFonts w:hint="eastAsia" w:ascii="仿宋" w:hAnsi="仿宋" w:eastAsia="仿宋" w:cs="仿宋"/>
          <w:sz w:val="24"/>
          <w:szCs w:val="24"/>
        </w:rPr>
        <w:t>第二部分 技术部分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_Toc3980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_Toc15695 </w:instrText>
      </w:r>
      <w:r>
        <w:rPr>
          <w:rFonts w:hint="eastAsia" w:ascii="仿宋" w:hAnsi="仿宋" w:eastAsia="仿宋" w:cs="仿宋"/>
          <w:sz w:val="24"/>
          <w:szCs w:val="24"/>
        </w:rPr>
        <w:fldChar w:fldCharType="separate"/>
      </w:r>
      <w:r>
        <w:rPr>
          <w:rFonts w:hint="eastAsia" w:ascii="仿宋" w:hAnsi="仿宋" w:eastAsia="仿宋" w:cs="仿宋"/>
          <w:sz w:val="24"/>
          <w:szCs w:val="24"/>
        </w:rPr>
        <w:t>第六章 具体评审办法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_Toc15695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_Toc26692 </w:instrText>
      </w:r>
      <w:r>
        <w:rPr>
          <w:rFonts w:hint="eastAsia" w:ascii="仿宋" w:hAnsi="仿宋" w:eastAsia="仿宋" w:cs="仿宋"/>
          <w:sz w:val="24"/>
          <w:szCs w:val="24"/>
        </w:rPr>
        <w:fldChar w:fldCharType="separate"/>
      </w:r>
      <w:r>
        <w:rPr>
          <w:rFonts w:hint="eastAsia" w:ascii="仿宋" w:hAnsi="仿宋" w:eastAsia="仿宋" w:cs="仿宋"/>
          <w:sz w:val="24"/>
          <w:szCs w:val="24"/>
        </w:rPr>
        <w:t>第七章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_Toc26692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_Toc8406 </w:instrText>
      </w:r>
      <w:r>
        <w:rPr>
          <w:rFonts w:hint="eastAsia" w:ascii="仿宋" w:hAnsi="仿宋" w:eastAsia="仿宋" w:cs="仿宋"/>
          <w:sz w:val="24"/>
          <w:szCs w:val="24"/>
        </w:rPr>
        <w:fldChar w:fldCharType="separate"/>
      </w:r>
      <w:r>
        <w:rPr>
          <w:rFonts w:hint="eastAsia" w:ascii="仿宋" w:hAnsi="仿宋" w:eastAsia="仿宋" w:cs="仿宋"/>
          <w:sz w:val="24"/>
          <w:szCs w:val="24"/>
        </w:rPr>
        <w:t>密封件封面格式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_Toc8406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fldChar w:fldCharType="end"/>
      </w:r>
      <w:bookmarkStart w:id="0" w:name="_Toc535048496"/>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ascii="仿宋" w:hAnsi="仿宋" w:eastAsia="仿宋" w:cs="仿宋"/>
          <w:b/>
          <w:bCs/>
          <w:sz w:val="40"/>
          <w:szCs w:val="24"/>
        </w:rPr>
      </w:pPr>
      <w:r>
        <w:rPr>
          <w:rFonts w:hint="eastAsia" w:ascii="仿宋" w:hAnsi="仿宋" w:eastAsia="仿宋" w:cs="仿宋"/>
          <w:sz w:val="30"/>
          <w:szCs w:val="30"/>
        </w:rPr>
        <w:br w:type="page"/>
      </w:r>
      <w:bookmarkStart w:id="1" w:name="_Toc13144"/>
      <w:r>
        <w:rPr>
          <w:rFonts w:hint="eastAsia" w:ascii="仿宋" w:hAnsi="仿宋" w:eastAsia="仿宋" w:cs="仿宋"/>
          <w:sz w:val="40"/>
          <w:szCs w:val="24"/>
        </w:rPr>
        <w:t>第一章 响应须知及前附表</w:t>
      </w:r>
      <w:bookmarkEnd w:id="0"/>
      <w:bookmarkEnd w:id="1"/>
    </w:p>
    <w:p>
      <w:pPr>
        <w:pStyle w:val="4"/>
        <w:spacing w:before="0" w:after="0" w:line="360" w:lineRule="auto"/>
        <w:jc w:val="center"/>
        <w:rPr>
          <w:rFonts w:ascii="仿宋" w:hAnsi="仿宋" w:eastAsia="仿宋" w:cs="仿宋"/>
          <w:b w:val="0"/>
        </w:rPr>
      </w:pPr>
      <w:bookmarkStart w:id="2" w:name="_Toc535048497"/>
      <w:bookmarkStart w:id="3" w:name="_Toc20427"/>
      <w:r>
        <w:rPr>
          <w:rFonts w:hint="eastAsia" w:ascii="仿宋" w:hAnsi="仿宋" w:eastAsia="仿宋" w:cs="仿宋"/>
          <w:b w:val="0"/>
        </w:rPr>
        <w:t>一、响应须知前附表</w:t>
      </w:r>
      <w:bookmarkEnd w:id="2"/>
      <w:bookmarkEnd w:id="3"/>
    </w:p>
    <w:tbl>
      <w:tblPr>
        <w:tblStyle w:val="20"/>
        <w:tblW w:w="8923" w:type="dxa"/>
        <w:tblInd w:w="0" w:type="dxa"/>
        <w:tblLayout w:type="fixed"/>
        <w:tblCellMar>
          <w:top w:w="0" w:type="dxa"/>
          <w:left w:w="28" w:type="dxa"/>
          <w:bottom w:w="0" w:type="dxa"/>
          <w:right w:w="28" w:type="dxa"/>
        </w:tblCellMar>
      </w:tblPr>
      <w:tblGrid>
        <w:gridCol w:w="591"/>
        <w:gridCol w:w="8332"/>
      </w:tblGrid>
      <w:tr>
        <w:tblPrEx>
          <w:tblCellMar>
            <w:top w:w="0" w:type="dxa"/>
            <w:left w:w="28" w:type="dxa"/>
            <w:bottom w:w="0" w:type="dxa"/>
            <w:right w:w="28" w:type="dxa"/>
          </w:tblCellMar>
        </w:tblPrEx>
        <w:trPr>
          <w:trHeight w:val="584"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序号</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内   容  规   定</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工程名称：山东科技大学</w:t>
            </w:r>
            <w:r>
              <w:rPr>
                <w:rFonts w:hint="eastAsia" w:ascii="仿宋" w:hAnsi="仿宋" w:eastAsia="仿宋" w:cs="仿宋"/>
                <w:sz w:val="24"/>
                <w:szCs w:val="24"/>
                <w:lang w:eastAsia="zh-CN"/>
              </w:rPr>
              <w:t>餐厅风幕机安装</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pPr>
            <w:r>
              <w:rPr>
                <w:rFonts w:hint="eastAsia" w:ascii="仿宋" w:hAnsi="仿宋" w:eastAsia="仿宋" w:cs="仿宋"/>
                <w:sz w:val="24"/>
                <w:szCs w:val="24"/>
              </w:rPr>
              <w:t>施工项目：</w:t>
            </w:r>
            <w:r>
              <w:rPr>
                <w:rFonts w:hint="eastAsia" w:ascii="仿宋" w:hAnsi="仿宋" w:eastAsia="仿宋" w:cs="仿宋"/>
                <w:sz w:val="24"/>
                <w:szCs w:val="24"/>
                <w:lang w:val="en-US" w:eastAsia="zh-CN"/>
              </w:rPr>
              <w:t>餐厅风幕机安装</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3</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rPr>
            </w:pPr>
            <w:r>
              <w:rPr>
                <w:rFonts w:hint="eastAsia" w:ascii="仿宋" w:hAnsi="仿宋" w:eastAsia="仿宋" w:cs="仿宋"/>
                <w:sz w:val="24"/>
                <w:szCs w:val="24"/>
              </w:rPr>
              <w:t>承包方式：包工包料、包质量、包工期、包安全</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4</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rPr>
            </w:pPr>
            <w:r>
              <w:rPr>
                <w:rFonts w:hint="eastAsia" w:ascii="仿宋" w:hAnsi="仿宋" w:eastAsia="仿宋" w:cs="仿宋"/>
                <w:sz w:val="24"/>
                <w:szCs w:val="24"/>
              </w:rPr>
              <w:t>质量标准：合格</w:t>
            </w:r>
            <w:r>
              <w:rPr>
                <w:rFonts w:ascii="仿宋" w:hAnsi="仿宋" w:eastAsia="仿宋" w:cs="仿宋"/>
                <w:sz w:val="24"/>
                <w:szCs w:val="24"/>
              </w:rPr>
              <w:t xml:space="preserve"> </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5</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pPr>
            <w:r>
              <w:rPr>
                <w:rFonts w:hint="eastAsia" w:ascii="仿宋" w:hAnsi="仿宋" w:eastAsia="仿宋" w:cs="仿宋"/>
                <w:sz w:val="24"/>
                <w:szCs w:val="24"/>
              </w:rPr>
              <w:t>施工范围：详见项目说明及工程量清单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6</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工程规模：详见项目说明及工程量清单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7</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9</w:t>
            </w:r>
            <w:r>
              <w:rPr>
                <w:rFonts w:hint="eastAsia" w:ascii="仿宋" w:hAnsi="仿宋" w:eastAsia="仿宋" w:cs="仿宋"/>
                <w:sz w:val="24"/>
                <w:szCs w:val="24"/>
              </w:rPr>
              <w:t>万元</w:t>
            </w:r>
            <w:r>
              <w:rPr>
                <w:rFonts w:hint="eastAsia" w:ascii="仿宋" w:hAnsi="仿宋" w:eastAsia="仿宋" w:cs="仿宋"/>
                <w:sz w:val="24"/>
                <w:szCs w:val="24"/>
                <w:lang w:val="en-US" w:eastAsia="zh-CN"/>
              </w:rPr>
              <w:t>。</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8</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总工期：合同签订之日起</w:t>
            </w:r>
            <w:r>
              <w:rPr>
                <w:rFonts w:hint="eastAsia" w:ascii="仿宋" w:hAnsi="仿宋" w:eastAsia="仿宋" w:cs="仿宋"/>
                <w:sz w:val="24"/>
                <w:szCs w:val="24"/>
                <w:lang w:val="en-US" w:eastAsia="zh-CN"/>
              </w:rPr>
              <w:t>15</w:t>
            </w:r>
            <w:r>
              <w:rPr>
                <w:rFonts w:hint="eastAsia" w:ascii="仿宋" w:hAnsi="仿宋" w:eastAsia="仿宋" w:cs="仿宋"/>
                <w:sz w:val="24"/>
                <w:szCs w:val="24"/>
              </w:rPr>
              <w:t>日历日；</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具体施工时间以发包人通知为准。发包人有权对开工、竣工时间做出适当调整，并适时通知成交人。</w:t>
            </w:r>
          </w:p>
        </w:tc>
      </w:tr>
      <w:tr>
        <w:tblPrEx>
          <w:tblCellMar>
            <w:top w:w="0" w:type="dxa"/>
            <w:left w:w="28" w:type="dxa"/>
            <w:bottom w:w="0" w:type="dxa"/>
            <w:right w:w="28" w:type="dxa"/>
          </w:tblCellMar>
        </w:tblPrEx>
        <w:trPr>
          <w:trHeight w:val="262"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9</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工程保修期：</w:t>
            </w:r>
            <w:r>
              <w:rPr>
                <w:rFonts w:hint="eastAsia" w:ascii="仿宋" w:hAnsi="仿宋" w:eastAsia="仿宋" w:cs="仿宋"/>
                <w:sz w:val="24"/>
                <w:szCs w:val="24"/>
                <w:lang w:val="en-US" w:eastAsia="zh-CN"/>
              </w:rPr>
              <w:t>1年</w:t>
            </w:r>
            <w:r>
              <w:rPr>
                <w:rFonts w:hint="eastAsia" w:ascii="仿宋" w:hAnsi="仿宋" w:eastAsia="仿宋" w:cs="仿宋"/>
                <w:sz w:val="24"/>
                <w:szCs w:val="24"/>
              </w:rPr>
              <w:t>。</w:t>
            </w:r>
          </w:p>
        </w:tc>
      </w:tr>
      <w:tr>
        <w:tblPrEx>
          <w:tblCellMar>
            <w:top w:w="0" w:type="dxa"/>
            <w:left w:w="28" w:type="dxa"/>
            <w:bottom w:w="0" w:type="dxa"/>
            <w:right w:w="28" w:type="dxa"/>
          </w:tblCellMar>
        </w:tblPrEx>
        <w:trPr>
          <w:trHeight w:val="277"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10</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
                <w:sz w:val="24"/>
                <w:szCs w:val="22"/>
              </w:rPr>
            </w:pPr>
            <w:r>
              <w:rPr>
                <w:rFonts w:hint="eastAsia" w:ascii="仿宋" w:hAnsi="仿宋" w:eastAsia="仿宋" w:cs="仿宋"/>
                <w:b/>
                <w:sz w:val="24"/>
                <w:szCs w:val="22"/>
              </w:rPr>
              <w:t>供应商资格要求</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1、具有独立承担民事责任的能力；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2、具有良好的商业信誉和健全的财务会计制度；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3、具有履行合同所必需的设备和专业技术能力；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4、有依法缴纳税收和社会保障资金的良好记录；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5、参加采购活动前三年内，在经营活动中没有重大违法记录；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6、法律、行政法规规定的其他条件；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7、通过“信用中国”网站（www.creditchina.gov.cn）查询，未被列入</w:t>
            </w:r>
            <w:r>
              <w:rPr>
                <w:rFonts w:hint="eastAsia" w:ascii="仿宋" w:hAnsi="仿宋" w:eastAsia="仿宋" w:cs="仿宋"/>
                <w:sz w:val="24"/>
                <w:szCs w:val="22"/>
                <w:lang w:eastAsia="zh-CN"/>
              </w:rPr>
              <w:t>失信惩戒</w:t>
            </w:r>
            <w:r>
              <w:rPr>
                <w:rFonts w:hint="eastAsia" w:ascii="仿宋" w:hAnsi="仿宋" w:eastAsia="仿宋" w:cs="仿宋"/>
                <w:sz w:val="24"/>
                <w:szCs w:val="22"/>
              </w:rPr>
              <w:t>、重大税收违法案件当事人、采购严重违法失信行为记录等名单的；</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8、本项目不接受联合体投标。</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11</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资格审查方式：资格后审，合格制</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12</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报价方式：公开报价，合格的供应商具有再次报价的机会。</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13</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响应有效期：开标日后的90天（日历日）</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14</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磋商文件售价：200元（售后不退）；</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15</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获取磋商文件时间：2019年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5</w:t>
            </w:r>
            <w:r>
              <w:rPr>
                <w:rFonts w:hint="eastAsia" w:ascii="仿宋" w:hAnsi="仿宋" w:eastAsia="仿宋" w:cs="仿宋"/>
                <w:sz w:val="24"/>
                <w:szCs w:val="24"/>
              </w:rPr>
              <w:t>日9:00—2019年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11</w:t>
            </w:r>
            <w:r>
              <w:rPr>
                <w:rFonts w:hint="eastAsia" w:ascii="仿宋" w:hAnsi="仿宋" w:eastAsia="仿宋" w:cs="仿宋"/>
                <w:sz w:val="24"/>
                <w:szCs w:val="24"/>
              </w:rPr>
              <w:t>日16:30截止（北京时间，双休日、节假日除外）。</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（工作时间：上午9:00—12:00，下午13:00—16:30）；</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地点：青岛市市北区敦化路138号甲西王大厦24楼23A01室</w:t>
            </w:r>
            <w:r>
              <w:rPr>
                <w:rFonts w:hint="eastAsia" w:ascii="仿宋" w:hAnsi="仿宋" w:eastAsia="仿宋" w:cs="仿宋"/>
              </w:rPr>
              <w:t>。</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16</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sz w:val="24"/>
                <w:szCs w:val="24"/>
              </w:rPr>
            </w:pPr>
            <w:r>
              <w:rPr>
                <w:rFonts w:hint="eastAsia" w:ascii="仿宋" w:hAnsi="仿宋" w:eastAsia="仿宋"/>
                <w:sz w:val="24"/>
                <w:szCs w:val="24"/>
              </w:rPr>
              <w:t>报名方式（二选一）:</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（1）现场报名：获取磋商文件时须携带营业执照副本原件或加盖公章的复印件到山东盛和招标代理有限公司报名；</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报名地点：青岛市市北区敦化路138号甲西王大厦24楼23A01室。</w:t>
            </w:r>
          </w:p>
          <w:p>
            <w:pPr>
              <w:keepNext w:val="0"/>
              <w:keepLines w:val="0"/>
              <w:pageBreakBefore w:val="0"/>
              <w:widowControl w:val="0"/>
              <w:numPr>
                <w:ilvl w:val="0"/>
                <w:numId w:val="1"/>
              </w:numPr>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网上报名：有意参加本次采购活动的供应商发送邮件。邮件内容：</w:t>
            </w:r>
            <w:r>
              <w:fldChar w:fldCharType="begin"/>
            </w:r>
            <w:r>
              <w:instrText xml:space="preserve"> HYPERLINK "mailto:项目名称、项目编号、包号、公司名称、联系人、联系电话、邮箱、营业执照副本扫描件、标书费汇款底单发送至山东盛和招标代理有限公司邮箱shzbqdb@163.com，邮件名称命名为" </w:instrText>
            </w:r>
            <w:r>
              <w:fldChar w:fldCharType="separate"/>
            </w:r>
            <w:r>
              <w:rPr>
                <w:rStyle w:val="25"/>
                <w:rFonts w:hint="eastAsia" w:ascii="仿宋" w:hAnsi="仿宋" w:eastAsia="仿宋"/>
                <w:sz w:val="24"/>
                <w:szCs w:val="24"/>
              </w:rPr>
              <w:t>项目名称、项目编号、公司名称、联系人、联系电话、邮箱、营业执照副本扫描件、标书费汇款底单发送至山东盛和招标代理有限公司邮箱shzbqdb@163.com，邮件名称命名为</w:t>
            </w:r>
            <w:r>
              <w:rPr>
                <w:rStyle w:val="25"/>
                <w:rFonts w:hint="eastAsia" w:ascii="仿宋" w:hAnsi="仿宋" w:eastAsia="仿宋"/>
                <w:sz w:val="24"/>
                <w:szCs w:val="24"/>
              </w:rPr>
              <w:fldChar w:fldCharType="end"/>
            </w:r>
            <w:r>
              <w:rPr>
                <w:rFonts w:hint="eastAsia" w:ascii="仿宋" w:hAnsi="仿宋" w:eastAsia="仿宋"/>
                <w:sz w:val="24"/>
                <w:szCs w:val="24"/>
              </w:rPr>
              <w:t xml:space="preserve"> 山东科技大学</w:t>
            </w:r>
            <w:r>
              <w:rPr>
                <w:rFonts w:hint="eastAsia" w:ascii="仿宋" w:hAnsi="仿宋" w:eastAsia="仿宋"/>
                <w:sz w:val="24"/>
                <w:szCs w:val="24"/>
                <w:lang w:eastAsia="zh-CN"/>
              </w:rPr>
              <w:t>SDSHZB2019-615</w:t>
            </w:r>
            <w:r>
              <w:rPr>
                <w:rFonts w:hint="eastAsia" w:ascii="仿宋" w:hAnsi="仿宋" w:eastAsia="仿宋"/>
                <w:sz w:val="24"/>
                <w:szCs w:val="24"/>
              </w:rPr>
              <w:t>-报名-“响应单位名称”。(提交标书费须从公司基本账户或一般账户转出，须标明项目编号)</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jc w:val="left"/>
              <w:textAlignment w:val="auto"/>
              <w:rPr>
                <w:rFonts w:ascii="仿宋" w:hAnsi="仿宋" w:eastAsia="仿宋" w:cs="仿宋"/>
              </w:rPr>
            </w:pPr>
            <w:r>
              <w:rPr>
                <w:rFonts w:hint="eastAsia" w:ascii="仿宋" w:hAnsi="仿宋" w:eastAsia="仿宋" w:cs="仿宋"/>
                <w:sz w:val="24"/>
                <w:szCs w:val="24"/>
              </w:rPr>
              <w:t>开户名称：山东盛和招标代理有限公司</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jc w:val="left"/>
              <w:textAlignment w:val="auto"/>
              <w:rPr>
                <w:rFonts w:ascii="仿宋" w:hAnsi="仿宋" w:eastAsia="仿宋" w:cs="仿宋"/>
              </w:rPr>
            </w:pPr>
            <w:r>
              <w:rPr>
                <w:rFonts w:hint="eastAsia" w:ascii="仿宋" w:hAnsi="仿宋" w:eastAsia="仿宋" w:cs="仿宋"/>
                <w:sz w:val="24"/>
                <w:szCs w:val="24"/>
              </w:rPr>
              <w:t>开户银行：兴业银行青岛市北支行</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jc w:val="left"/>
              <w:textAlignment w:val="auto"/>
              <w:rPr>
                <w:rFonts w:ascii="仿宋" w:hAnsi="仿宋" w:eastAsia="仿宋" w:cs="仿宋"/>
              </w:rPr>
            </w:pPr>
            <w:r>
              <w:rPr>
                <w:rFonts w:hint="eastAsia" w:ascii="仿宋" w:hAnsi="仿宋" w:eastAsia="仿宋" w:cs="仿宋"/>
                <w:sz w:val="24"/>
                <w:szCs w:val="24"/>
              </w:rPr>
              <w:t>账    号：522130100100053768</w:t>
            </w:r>
          </w:p>
          <w:p>
            <w:pPr>
              <w:keepNext w:val="0"/>
              <w:keepLines w:val="0"/>
              <w:pageBreakBefore w:val="0"/>
              <w:widowControl w:val="0"/>
              <w:kinsoku/>
              <w:wordWrap/>
              <w:overflowPunct/>
              <w:topLinePunct w:val="0"/>
              <w:autoSpaceDE/>
              <w:autoSpaceDN/>
              <w:bidi w:val="0"/>
              <w:adjustRightInd/>
              <w:spacing w:line="440" w:lineRule="exact"/>
              <w:ind w:firstLine="720" w:firstLineChars="300"/>
              <w:jc w:val="left"/>
              <w:textAlignment w:val="auto"/>
              <w:rPr>
                <w:rFonts w:ascii="仿宋" w:hAnsi="仿宋" w:eastAsia="仿宋" w:cs="仿宋"/>
                <w:bCs/>
                <w:sz w:val="24"/>
                <w:szCs w:val="24"/>
              </w:rPr>
            </w:pPr>
            <w:r>
              <w:rPr>
                <w:rFonts w:hint="eastAsia" w:ascii="仿宋" w:hAnsi="仿宋" w:eastAsia="仿宋"/>
                <w:sz w:val="24"/>
                <w:szCs w:val="24"/>
              </w:rPr>
              <w:t>未按以上规定内容报名的视为报名无效。</w:t>
            </w:r>
          </w:p>
        </w:tc>
      </w:tr>
      <w:tr>
        <w:tblPrEx>
          <w:tblCellMar>
            <w:top w:w="0" w:type="dxa"/>
            <w:left w:w="28" w:type="dxa"/>
            <w:bottom w:w="0" w:type="dxa"/>
            <w:right w:w="28" w:type="dxa"/>
          </w:tblCellMar>
        </w:tblPrEx>
        <w:trPr>
          <w:trHeight w:val="551"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保证金：</w:t>
            </w:r>
            <w:r>
              <w:rPr>
                <w:rFonts w:hint="eastAsia" w:ascii="仿宋" w:hAnsi="仿宋" w:eastAsia="仿宋" w:cs="仿宋"/>
                <w:color w:val="000000" w:themeColor="text1"/>
                <w:sz w:val="24"/>
                <w:szCs w:val="24"/>
                <w:lang w:val="en-US" w:eastAsia="zh-CN"/>
              </w:rPr>
              <w:t>1800</w:t>
            </w:r>
            <w:r>
              <w:rPr>
                <w:rFonts w:hint="eastAsia" w:ascii="仿宋" w:hAnsi="仿宋" w:eastAsia="仿宋" w:cs="仿宋"/>
                <w:color w:val="000000" w:themeColor="text1"/>
                <w:sz w:val="24"/>
                <w:szCs w:val="24"/>
              </w:rPr>
              <w:t>元。</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保证金必须在2019年</w:t>
            </w:r>
            <w:r>
              <w:rPr>
                <w:rFonts w:hint="eastAsia" w:ascii="仿宋" w:hAnsi="仿宋" w:eastAsia="仿宋" w:cs="仿宋"/>
                <w:color w:val="000000" w:themeColor="text1"/>
                <w:sz w:val="24"/>
                <w:szCs w:val="24"/>
                <w:lang w:val="en-US" w:eastAsia="zh-CN"/>
              </w:rPr>
              <w:t>11</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15</w:t>
            </w:r>
            <w:r>
              <w:rPr>
                <w:rFonts w:hint="eastAsia" w:ascii="仿宋" w:hAnsi="仿宋" w:eastAsia="仿宋" w:cs="仿宋"/>
                <w:color w:val="000000" w:themeColor="text1"/>
                <w:sz w:val="24"/>
                <w:szCs w:val="24"/>
              </w:rPr>
              <w:t>日09:</w:t>
            </w:r>
            <w:r>
              <w:rPr>
                <w:rFonts w:hint="eastAsia" w:ascii="仿宋" w:hAnsi="仿宋" w:eastAsia="仿宋" w:cs="仿宋"/>
                <w:color w:val="000000" w:themeColor="text1"/>
                <w:sz w:val="24"/>
                <w:szCs w:val="24"/>
                <w:lang w:val="en-US" w:eastAsia="zh-CN"/>
              </w:rPr>
              <w:t>3</w:t>
            </w:r>
            <w:r>
              <w:rPr>
                <w:rFonts w:hint="eastAsia" w:ascii="仿宋" w:hAnsi="仿宋" w:eastAsia="仿宋" w:cs="仿宋"/>
                <w:color w:val="000000" w:themeColor="text1"/>
                <w:sz w:val="24"/>
                <w:szCs w:val="24"/>
              </w:rPr>
              <w:t>0之前到账，以电汇形式（电汇以到账时间为准）提交。电汇形式提交的保证金，必须从公司基本账户或一般账户转出，并备注所投项目编号及包号。</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开户名称：山东盛和招标代理有限公司</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开户银行：兴业银行青岛市北支行</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账    号：522130100100053768</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color w:val="000000" w:themeColor="text1"/>
                <w:sz w:val="24"/>
                <w:szCs w:val="24"/>
              </w:rPr>
              <w:t>保证金必须在规定时间之前到达上述账户，否则视为自动放弃本次响应资格。</w:t>
            </w:r>
          </w:p>
        </w:tc>
      </w:tr>
      <w:tr>
        <w:tblPrEx>
          <w:tblCellMar>
            <w:top w:w="0" w:type="dxa"/>
            <w:left w:w="28" w:type="dxa"/>
            <w:bottom w:w="0" w:type="dxa"/>
            <w:right w:w="28" w:type="dxa"/>
          </w:tblCellMar>
        </w:tblPrEx>
        <w:trPr>
          <w:trHeight w:val="311"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18</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bCs/>
                <w:sz w:val="24"/>
                <w:szCs w:val="24"/>
              </w:rPr>
            </w:pPr>
            <w:r>
              <w:rPr>
                <w:rFonts w:hint="eastAsia" w:ascii="仿宋" w:hAnsi="仿宋" w:eastAsia="仿宋"/>
                <w:bCs/>
                <w:sz w:val="24"/>
                <w:szCs w:val="24"/>
              </w:rPr>
              <w:t>踏勘现场:统一勘查现场</w:t>
            </w:r>
          </w:p>
          <w:p>
            <w:pPr>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bCs/>
                <w:sz w:val="24"/>
                <w:szCs w:val="24"/>
              </w:rPr>
            </w:pPr>
            <w:r>
              <w:rPr>
                <w:rFonts w:hint="eastAsia" w:ascii="仿宋" w:hAnsi="仿宋" w:eastAsia="仿宋"/>
                <w:bCs/>
                <w:sz w:val="24"/>
                <w:szCs w:val="24"/>
              </w:rPr>
              <w:t>响应文件内需附有经采购人签字的勘察现场登记表（登记表原件按包号胶装在相应包号的响应文件正本，登记表复印件胶装在副本）</w:t>
            </w:r>
          </w:p>
          <w:p>
            <w:pPr>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bCs/>
                <w:sz w:val="24"/>
                <w:szCs w:val="24"/>
              </w:rPr>
            </w:pPr>
            <w:r>
              <w:rPr>
                <w:rFonts w:hint="eastAsia" w:ascii="仿宋" w:hAnsi="仿宋" w:eastAsia="仿宋"/>
                <w:bCs/>
                <w:sz w:val="24"/>
                <w:szCs w:val="24"/>
              </w:rPr>
              <w:t>勘察现场时间：2019年</w:t>
            </w:r>
            <w:r>
              <w:rPr>
                <w:rFonts w:hint="eastAsia" w:ascii="仿宋" w:hAnsi="仿宋" w:eastAsia="仿宋"/>
                <w:bCs/>
                <w:sz w:val="24"/>
                <w:szCs w:val="24"/>
                <w:lang w:val="en-US" w:eastAsia="zh-CN"/>
              </w:rPr>
              <w:t>11</w:t>
            </w:r>
            <w:r>
              <w:rPr>
                <w:rFonts w:hint="eastAsia" w:ascii="仿宋" w:hAnsi="仿宋" w:eastAsia="仿宋"/>
                <w:bCs/>
                <w:sz w:val="24"/>
                <w:szCs w:val="24"/>
              </w:rPr>
              <w:t>月</w:t>
            </w:r>
            <w:r>
              <w:rPr>
                <w:rFonts w:hint="eastAsia" w:ascii="仿宋" w:hAnsi="仿宋" w:eastAsia="仿宋"/>
                <w:bCs/>
                <w:sz w:val="24"/>
                <w:szCs w:val="24"/>
                <w:lang w:val="en-US" w:eastAsia="zh-CN"/>
              </w:rPr>
              <w:t>12</w:t>
            </w:r>
            <w:r>
              <w:rPr>
                <w:rFonts w:hint="eastAsia" w:ascii="仿宋" w:hAnsi="仿宋" w:eastAsia="仿宋"/>
                <w:bCs/>
                <w:sz w:val="24"/>
                <w:szCs w:val="24"/>
              </w:rPr>
              <w:t>日上午</w:t>
            </w:r>
            <w:r>
              <w:rPr>
                <w:rFonts w:hint="eastAsia" w:ascii="仿宋" w:hAnsi="仿宋" w:eastAsia="仿宋"/>
                <w:bCs/>
                <w:sz w:val="24"/>
                <w:szCs w:val="24"/>
                <w:lang w:val="en-US" w:eastAsia="zh-CN"/>
              </w:rPr>
              <w:t>10</w:t>
            </w:r>
            <w:r>
              <w:rPr>
                <w:rFonts w:hint="eastAsia" w:ascii="仿宋" w:hAnsi="仿宋" w:eastAsia="仿宋"/>
                <w:bCs/>
                <w:sz w:val="24"/>
                <w:szCs w:val="24"/>
              </w:rPr>
              <w:t xml:space="preserve">:00  </w:t>
            </w:r>
          </w:p>
          <w:p>
            <w:pPr>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bCs/>
                <w:sz w:val="24"/>
                <w:szCs w:val="24"/>
              </w:rPr>
            </w:pPr>
            <w:r>
              <w:rPr>
                <w:rFonts w:hint="eastAsia" w:ascii="仿宋" w:hAnsi="仿宋" w:eastAsia="仿宋"/>
                <w:bCs/>
                <w:sz w:val="24"/>
                <w:szCs w:val="24"/>
              </w:rPr>
              <w:t>集合地点：山东科技大学南门</w:t>
            </w:r>
            <w:r>
              <w:rPr>
                <w:rFonts w:hint="eastAsia" w:ascii="仿宋" w:hAnsi="仿宋" w:eastAsia="仿宋"/>
                <w:bCs/>
                <w:sz w:val="24"/>
                <w:szCs w:val="24"/>
                <w:lang w:eastAsia="zh-CN"/>
              </w:rPr>
              <w:t>行政楼门口</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仿宋" w:hAnsi="仿宋" w:eastAsia="宋体" w:cs="仿宋"/>
                <w:sz w:val="24"/>
                <w:szCs w:val="24"/>
                <w:lang w:val="en-US" w:eastAsia="zh-CN"/>
              </w:rPr>
            </w:pPr>
            <w:r>
              <w:rPr>
                <w:rFonts w:hint="eastAsia" w:ascii="仿宋" w:hAnsi="仿宋" w:eastAsia="仿宋"/>
                <w:bCs/>
                <w:sz w:val="24"/>
                <w:szCs w:val="24"/>
              </w:rPr>
              <w:t>联系人及联系方式：</w:t>
            </w:r>
            <w:r>
              <w:rPr>
                <w:rFonts w:hint="eastAsia" w:ascii="仿宋" w:hAnsi="仿宋" w:eastAsia="仿宋"/>
                <w:bCs/>
                <w:sz w:val="24"/>
                <w:szCs w:val="24"/>
                <w:lang w:eastAsia="zh-CN"/>
              </w:rPr>
              <w:t>裴老师</w:t>
            </w:r>
            <w:r>
              <w:rPr>
                <w:rFonts w:hint="eastAsia" w:ascii="仿宋" w:hAnsi="仿宋" w:eastAsia="仿宋"/>
                <w:bCs/>
                <w:sz w:val="24"/>
                <w:szCs w:val="24"/>
                <w:lang w:val="en-US" w:eastAsia="zh-CN"/>
              </w:rPr>
              <w:t xml:space="preserve"> 0532-86057699</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19</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采购答疑：</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1、答疑文件提交：磋商文件发售截止时间次日17点前</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2、份数：书面形式一份，WORD电子文档一份邮件到shzbqdb@163.com</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地点：青岛市市北区敦化路138号甲西王大厦24楼23A02室</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答疑文件领取：</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时间：另行通知</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地点：青岛市市北区敦化路138号甲西王大厦24楼23A02室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20</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本项目不接受供应商多方案报价</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21</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Cs/>
                <w:sz w:val="24"/>
                <w:szCs w:val="24"/>
              </w:rPr>
            </w:pPr>
            <w:r>
              <w:rPr>
                <w:rFonts w:hint="eastAsia" w:ascii="仿宋" w:hAnsi="仿宋" w:eastAsia="仿宋" w:cs="仿宋"/>
                <w:sz w:val="24"/>
                <w:szCs w:val="24"/>
              </w:rPr>
              <w:t>响应文件及资料的份数：报价一览表一份单独密封，</w:t>
            </w:r>
            <w:r>
              <w:rPr>
                <w:rFonts w:hint="eastAsia" w:ascii="仿宋" w:hAnsi="仿宋" w:eastAsia="仿宋" w:cs="仿宋"/>
                <w:bCs/>
                <w:sz w:val="24"/>
                <w:szCs w:val="24"/>
              </w:rPr>
              <w:t>正本一份，副本伍份，电子文档一份（WORD及EXCEL版本）、资质证明文件及相关材料，以上文件分别密封。</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pacing w:val="-8"/>
                <w:sz w:val="24"/>
                <w:szCs w:val="24"/>
              </w:rPr>
              <w:t>供应商应按本须知前附表所规定的地点，于截止时间前提交上述资料。</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22</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bookmarkStart w:id="4" w:name="OLE_LINK55"/>
            <w:bookmarkStart w:id="5" w:name="OLE_LINK54"/>
            <w:r>
              <w:rPr>
                <w:rFonts w:hint="eastAsia" w:ascii="仿宋" w:hAnsi="仿宋" w:eastAsia="仿宋" w:cs="仿宋"/>
                <w:sz w:val="24"/>
                <w:szCs w:val="24"/>
              </w:rPr>
              <w:t>付款方式：</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bCs/>
                <w:sz w:val="24"/>
                <w:szCs w:val="24"/>
              </w:rPr>
              <w:t>签订合同前，缴纳履约保证金，乙方支付成交价款5％作为履约保证金，工程竣工经验收合格并审计完毕后付总工程造价的100%，履约保证金在质保期满后一月内无息付清</w:t>
            </w:r>
            <w:bookmarkEnd w:id="4"/>
            <w:bookmarkEnd w:id="5"/>
            <w:r>
              <w:rPr>
                <w:rFonts w:hint="eastAsia" w:ascii="仿宋" w:hAnsi="仿宋" w:eastAsia="仿宋" w:cs="仿宋"/>
                <w:bCs/>
                <w:sz w:val="24"/>
                <w:szCs w:val="24"/>
              </w:rPr>
              <w:t>。</w:t>
            </w:r>
          </w:p>
        </w:tc>
      </w:tr>
      <w:tr>
        <w:tblPrEx>
          <w:tblCellMar>
            <w:top w:w="0" w:type="dxa"/>
            <w:left w:w="28" w:type="dxa"/>
            <w:bottom w:w="0" w:type="dxa"/>
            <w:right w:w="28" w:type="dxa"/>
          </w:tblCellMar>
        </w:tblPrEx>
        <w:trPr>
          <w:trHeight w:val="1027"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23</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履约保证金：</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签订合同前，成交供应商从公司账户以电汇等非现金形式按照成交金额的5%向采购人交纳履约保证金。</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24</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响应文件递交起止时间：2019年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日0</w:t>
            </w:r>
            <w:r>
              <w:rPr>
                <w:rFonts w:hint="eastAsia" w:ascii="仿宋" w:hAnsi="仿宋" w:eastAsia="仿宋" w:cs="仿宋"/>
                <w:sz w:val="24"/>
                <w:szCs w:val="24"/>
                <w:lang w:val="en-US" w:eastAsia="zh-CN"/>
              </w:rPr>
              <w:t>9</w:t>
            </w:r>
            <w:r>
              <w:rPr>
                <w:rFonts w:hint="eastAsia" w:ascii="仿宋" w:hAnsi="仿宋" w:eastAsia="仿宋" w:cs="仿宋"/>
                <w:sz w:val="24"/>
                <w:szCs w:val="24"/>
              </w:rPr>
              <w:t>:00-09:</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 xml:space="preserve">响应文件递交地点： </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青岛黄岛区前湾港路299号青岛嘉逸豪庭商务酒店3楼会议室。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25</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highlight w:val="yellow"/>
              </w:rPr>
            </w:pPr>
            <w:r>
              <w:rPr>
                <w:rFonts w:hint="eastAsia" w:ascii="仿宋" w:hAnsi="仿宋" w:eastAsia="仿宋" w:cs="仿宋"/>
                <w:sz w:val="24"/>
                <w:szCs w:val="24"/>
              </w:rPr>
              <w:t>接受单位：山东盛和招标代理有限公司</w:t>
            </w:r>
          </w:p>
        </w:tc>
      </w:tr>
      <w:tr>
        <w:tblPrEx>
          <w:tblCellMar>
            <w:top w:w="0" w:type="dxa"/>
            <w:left w:w="28" w:type="dxa"/>
            <w:bottom w:w="0" w:type="dxa"/>
            <w:right w:w="28" w:type="dxa"/>
          </w:tblCellMar>
        </w:tblPrEx>
        <w:trPr>
          <w:trHeight w:val="306"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26</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报价时间：2019年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日09:</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 </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报价地点：青岛黄岛区前湾港路299号青岛嘉逸豪庭商务酒店3楼会议室。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27</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评审方法及标准：综合评分法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28</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采购单位：山东科技大学</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联系人及电话：阎老师 0532-86057892</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hint="default" w:ascii="仿宋" w:hAnsi="仿宋" w:eastAsia="宋体" w:cs="仿宋"/>
                <w:sz w:val="24"/>
                <w:szCs w:val="24"/>
                <w:lang w:val="en-US" w:eastAsia="zh-CN"/>
              </w:rPr>
            </w:pPr>
            <w:r>
              <w:rPr>
                <w:rFonts w:hint="eastAsia" w:ascii="仿宋" w:hAnsi="仿宋" w:eastAsia="仿宋" w:cs="仿宋"/>
                <w:sz w:val="24"/>
                <w:szCs w:val="24"/>
                <w:lang w:eastAsia="zh-CN"/>
              </w:rPr>
              <w:t>技术联系人及电话：</w:t>
            </w:r>
            <w:r>
              <w:rPr>
                <w:rFonts w:hint="eastAsia" w:ascii="仿宋" w:hAnsi="仿宋" w:eastAsia="仿宋"/>
                <w:bCs/>
                <w:sz w:val="24"/>
                <w:szCs w:val="24"/>
                <w:lang w:eastAsia="zh-CN"/>
              </w:rPr>
              <w:t>裴老师</w:t>
            </w:r>
            <w:r>
              <w:rPr>
                <w:rFonts w:hint="eastAsia" w:ascii="仿宋" w:hAnsi="仿宋" w:eastAsia="仿宋"/>
                <w:bCs/>
                <w:sz w:val="24"/>
                <w:szCs w:val="24"/>
                <w:lang w:val="en-US" w:eastAsia="zh-CN"/>
              </w:rPr>
              <w:t xml:space="preserve"> 0532-86057699</w:t>
            </w:r>
          </w:p>
        </w:tc>
      </w:tr>
      <w:tr>
        <w:tblPrEx>
          <w:tblCellMar>
            <w:top w:w="0" w:type="dxa"/>
            <w:left w:w="28" w:type="dxa"/>
            <w:bottom w:w="0" w:type="dxa"/>
            <w:right w:w="28" w:type="dxa"/>
          </w:tblCellMar>
        </w:tblPrEx>
        <w:trPr>
          <w:trHeight w:val="183"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29</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rPr>
            </w:pPr>
            <w:r>
              <w:rPr>
                <w:rFonts w:hint="eastAsia" w:ascii="仿宋" w:hAnsi="仿宋" w:eastAsia="仿宋" w:cs="仿宋"/>
                <w:sz w:val="24"/>
                <w:szCs w:val="24"/>
              </w:rPr>
              <w:t>采购代理机构：山东盛和招标代理有限公司</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rPr>
            </w:pPr>
            <w:r>
              <w:rPr>
                <w:rFonts w:hint="eastAsia" w:ascii="仿宋" w:hAnsi="仿宋" w:eastAsia="仿宋" w:cs="仿宋"/>
                <w:sz w:val="24"/>
                <w:szCs w:val="24"/>
              </w:rPr>
              <w:t>地址：青岛市市北区敦化路138号甲西王大厦24楼23A02室</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rPr>
            </w:pPr>
            <w:r>
              <w:rPr>
                <w:rFonts w:hint="eastAsia" w:ascii="仿宋" w:hAnsi="仿宋" w:eastAsia="仿宋" w:cs="仿宋"/>
                <w:sz w:val="24"/>
                <w:szCs w:val="24"/>
              </w:rPr>
              <w:t>联系人：</w:t>
            </w:r>
            <w:r>
              <w:rPr>
                <w:rFonts w:hint="eastAsia" w:ascii="仿宋" w:hAnsi="仿宋" w:eastAsia="仿宋" w:cs="仿宋"/>
                <w:sz w:val="24"/>
                <w:szCs w:val="24"/>
                <w:lang w:val="zh-CN"/>
              </w:rPr>
              <w:t>陈长海、王梦迪、马诗晴、</w:t>
            </w:r>
            <w:r>
              <w:rPr>
                <w:rFonts w:hint="eastAsia" w:ascii="仿宋" w:hAnsi="仿宋" w:eastAsia="仿宋" w:cs="仿宋"/>
                <w:sz w:val="24"/>
                <w:szCs w:val="24"/>
              </w:rPr>
              <w:t>贺鹏琦</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hint="default" w:ascii="仿宋" w:hAnsi="仿宋" w:eastAsia="仿宋" w:cs="仿宋"/>
                <w:lang w:val="en-US" w:eastAsia="zh-CN"/>
              </w:rPr>
            </w:pPr>
            <w:r>
              <w:rPr>
                <w:rFonts w:hint="eastAsia" w:ascii="仿宋" w:hAnsi="仿宋" w:eastAsia="仿宋" w:cs="仿宋"/>
                <w:sz w:val="24"/>
                <w:szCs w:val="24"/>
              </w:rPr>
              <w:t>联系电话：</w:t>
            </w:r>
            <w:r>
              <w:rPr>
                <w:rFonts w:hint="eastAsia" w:ascii="仿宋" w:hAnsi="仿宋" w:eastAsia="仿宋" w:cs="仿宋"/>
                <w:sz w:val="24"/>
                <w:szCs w:val="24"/>
                <w:lang w:val="zh-CN"/>
              </w:rPr>
              <w:t>0532-85659918、0532-66701999、</w:t>
            </w:r>
            <w:r>
              <w:rPr>
                <w:rFonts w:hint="eastAsia" w:ascii="仿宋" w:hAnsi="仿宋" w:eastAsia="仿宋" w:cs="仿宋"/>
                <w:sz w:val="24"/>
                <w:szCs w:val="24"/>
                <w:lang w:val="en-US" w:eastAsia="zh-CN"/>
              </w:rPr>
              <w:t>15615727352</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30</w:t>
            </w:r>
          </w:p>
        </w:tc>
        <w:tc>
          <w:tcPr>
            <w:tcW w:w="8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本项目可磋商内容：采购需求中的技术、服务要求以及合同草案条款。</w:t>
            </w:r>
          </w:p>
        </w:tc>
      </w:tr>
    </w:tbl>
    <w:p>
      <w:pPr>
        <w:rPr>
          <w:rFonts w:ascii="仿宋" w:hAnsi="仿宋" w:eastAsia="仿宋" w:cs="仿宋"/>
          <w:sz w:val="40"/>
        </w:rPr>
      </w:pPr>
      <w:bookmarkStart w:id="6" w:name="_Toc535048498"/>
      <w:bookmarkStart w:id="7" w:name="_Toc12146"/>
      <w:r>
        <w:rPr>
          <w:rFonts w:hint="eastAsia" w:ascii="仿宋" w:hAnsi="仿宋" w:eastAsia="仿宋" w:cs="仿宋"/>
          <w:sz w:val="40"/>
        </w:rPr>
        <w:br w:type="page"/>
      </w:r>
    </w:p>
    <w:p>
      <w:pPr>
        <w:pStyle w:val="3"/>
        <w:spacing w:before="0" w:after="0" w:line="360" w:lineRule="auto"/>
        <w:jc w:val="center"/>
        <w:rPr>
          <w:rFonts w:ascii="仿宋" w:hAnsi="仿宋" w:eastAsia="仿宋" w:cs="仿宋"/>
          <w:sz w:val="40"/>
        </w:rPr>
      </w:pPr>
      <w:bookmarkStart w:id="8" w:name="_Toc28203"/>
      <w:r>
        <w:rPr>
          <w:rFonts w:hint="eastAsia" w:ascii="仿宋" w:hAnsi="仿宋" w:eastAsia="仿宋" w:cs="仿宋"/>
          <w:sz w:val="40"/>
        </w:rPr>
        <w:t>二、响应须知</w:t>
      </w:r>
      <w:bookmarkEnd w:id="6"/>
      <w:bookmarkEnd w:id="7"/>
      <w:bookmarkEnd w:id="8"/>
    </w:p>
    <w:p>
      <w:pPr>
        <w:pStyle w:val="4"/>
        <w:spacing w:before="0" w:after="0" w:line="360" w:lineRule="auto"/>
        <w:jc w:val="left"/>
        <w:rPr>
          <w:rFonts w:ascii="仿宋" w:hAnsi="仿宋" w:eastAsia="仿宋" w:cs="仿宋"/>
          <w:sz w:val="24"/>
          <w:szCs w:val="24"/>
        </w:rPr>
      </w:pPr>
      <w:bookmarkStart w:id="9" w:name="_Toc12818"/>
      <w:bookmarkStart w:id="10" w:name="_Toc8715"/>
      <w:bookmarkStart w:id="11" w:name="_Toc535048499"/>
      <w:r>
        <w:rPr>
          <w:rFonts w:hint="eastAsia" w:ascii="仿宋" w:hAnsi="仿宋" w:eastAsia="仿宋" w:cs="仿宋"/>
          <w:sz w:val="24"/>
          <w:szCs w:val="24"/>
        </w:rPr>
        <w:t>（一）总  则</w:t>
      </w:r>
      <w:bookmarkEnd w:id="9"/>
      <w:bookmarkEnd w:id="10"/>
      <w:bookmarkEnd w:id="11"/>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1、工程说明</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1.1本工程项目说明详见本须知前附表。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1.2本工程按照有关法律、行政法规和部门规章，现通过竞争性磋商方式，择优选择成交人。</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2、采购范围及工期</w:t>
      </w:r>
      <w:r>
        <w:rPr>
          <w:rFonts w:hint="eastAsia" w:ascii="仿宋" w:hAnsi="仿宋" w:eastAsia="仿宋" w:cs="仿宋"/>
          <w:sz w:val="24"/>
          <w:szCs w:val="24"/>
        </w:rPr>
        <w:t>：</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2.1本工程项目的采购范围详见本须知前附表。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2.2本工程项目的工期要求为：承包人必须在合同规定的时间内完成任务并达到验收合格标准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2.3验收标准：合格。</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3、合格的供应商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3.1具有采购须知前附表第10项规定资质；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3.2 本次采购不接受联合体投标；</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3.3 供应商提供的有关证明必须真实可靠，上交原件备查。</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4、踏勘现场</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4.1 按本须知前附表所述的规定，供应商对工程现场及周围环境进行踏勘，以便获取有关编制响应文件和签署合同所涉及现场的资料。供应商承担踏勘现场所发生的一切费用。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4.2 采购单位向供应商提供的有关现场的资料和数据，是采购单位现有的能使供应商利用的资料。采购单位对供应商由此而做出的理解、推论和结论不承担责任；</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4.3 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4.4 供应商考察现场后将被认为已了解工程项目现场情况，掌握了编制响应文件所需的有关条件；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4.5 供应商在勘查现场时应认真了解工程项目周边状况，充分考虑周围建筑物、地质、水文等因素对响应报价的影响。</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5．费用</w:t>
      </w:r>
    </w:p>
    <w:p>
      <w:pPr>
        <w:overflowPunct w:val="0"/>
        <w:autoSpaceDE w:val="0"/>
        <w:snapToGrid w:val="0"/>
        <w:spacing w:line="360" w:lineRule="auto"/>
        <w:ind w:firstLine="482"/>
        <w:jc w:val="left"/>
        <w:rPr>
          <w:rFonts w:ascii="仿宋" w:hAnsi="仿宋" w:eastAsia="仿宋" w:cs="仿宋"/>
          <w:sz w:val="24"/>
          <w:szCs w:val="24"/>
        </w:rPr>
      </w:pPr>
      <w:r>
        <w:rPr>
          <w:rFonts w:hint="eastAsia" w:ascii="仿宋" w:hAnsi="仿宋" w:eastAsia="仿宋" w:cs="仿宋"/>
          <w:sz w:val="24"/>
          <w:szCs w:val="24"/>
        </w:rPr>
        <w:t>5.1 供应商应承担其参加本次响应活动自身所发生的一切费用。不论采购结果如何，采购单位及采购代理单位对上述费用不负任何责任。所递交的所有与响应有关的资料均不予退还。</w:t>
      </w:r>
    </w:p>
    <w:p>
      <w:pPr>
        <w:pStyle w:val="2"/>
        <w:spacing w:line="360" w:lineRule="auto"/>
        <w:ind w:firstLine="482"/>
        <w:rPr>
          <w:rFonts w:ascii="仿宋" w:hAnsi="仿宋" w:eastAsia="仿宋" w:cs="仿宋"/>
          <w:sz w:val="24"/>
          <w:szCs w:val="24"/>
          <w:lang w:val="zh-CN"/>
        </w:rPr>
      </w:pPr>
      <w:r>
        <w:rPr>
          <w:rFonts w:hint="eastAsia" w:ascii="仿宋" w:hAnsi="仿宋" w:eastAsia="仿宋" w:cs="仿宋"/>
          <w:sz w:val="24"/>
          <w:szCs w:val="24"/>
        </w:rPr>
        <w:t>5.2.1 本工程采购代理服务费由成交人支付。</w:t>
      </w:r>
      <w:r>
        <w:rPr>
          <w:rFonts w:hint="eastAsia" w:ascii="仿宋" w:hAnsi="仿宋" w:eastAsia="仿宋" w:cs="仿宋"/>
          <w:sz w:val="24"/>
          <w:szCs w:val="24"/>
          <w:lang w:val="zh-CN"/>
        </w:rPr>
        <w:t>成交人在签订合同前，</w:t>
      </w:r>
      <w:r>
        <w:rPr>
          <w:rFonts w:hint="eastAsia" w:ascii="仿宋" w:hAnsi="仿宋" w:eastAsia="仿宋"/>
          <w:sz w:val="24"/>
          <w:szCs w:val="24"/>
          <w:lang w:val="zh-CN"/>
        </w:rPr>
        <w:t>自成交公告发布之日起5个工作日内</w:t>
      </w:r>
      <w:r>
        <w:rPr>
          <w:rFonts w:hint="eastAsia" w:ascii="仿宋" w:hAnsi="仿宋" w:eastAsia="仿宋" w:cs="仿宋"/>
          <w:sz w:val="24"/>
          <w:szCs w:val="24"/>
          <w:lang w:val="zh-CN"/>
        </w:rPr>
        <w:t>按国家计委计价格[2002]1980号文规定的75%向山东盛和招标代理有限公司交纳成交服务费。</w:t>
      </w:r>
    </w:p>
    <w:p>
      <w:pPr>
        <w:pStyle w:val="4"/>
        <w:spacing w:before="0" w:after="0" w:line="360" w:lineRule="auto"/>
        <w:rPr>
          <w:rFonts w:ascii="仿宋" w:hAnsi="仿宋" w:eastAsia="仿宋" w:cs="仿宋"/>
          <w:sz w:val="24"/>
          <w:szCs w:val="24"/>
        </w:rPr>
      </w:pPr>
      <w:bookmarkStart w:id="12" w:name="_Toc23227"/>
      <w:bookmarkStart w:id="13" w:name="_Toc21475"/>
      <w:bookmarkStart w:id="14" w:name="_Toc535048500"/>
      <w:r>
        <w:rPr>
          <w:rFonts w:hint="eastAsia" w:ascii="仿宋" w:hAnsi="仿宋" w:eastAsia="仿宋" w:cs="仿宋"/>
          <w:sz w:val="24"/>
          <w:szCs w:val="24"/>
        </w:rPr>
        <w:t>（二）磋商文件</w:t>
      </w:r>
      <w:bookmarkEnd w:id="12"/>
      <w:bookmarkEnd w:id="13"/>
      <w:bookmarkEnd w:id="14"/>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6．磋商文件的组成</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6.1 磋商文件的取得及处理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6.1.1供应商应从山东盛和招标代理有限公司处购买磋商文件，磋商文件一经售出概不退还。</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6.1.2磋商文件应保密，不得向他人泄露磋商文件的任何内容和细节，供应商之间不得相互串通，故意提高或压低报价，若出现或发现上述情况，采购单位有权取消此次采购活动。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6.2 磋商文件包括下列内容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第一章  响应须知及前附表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第二章  供应商应当提交的资格、资信等证明文件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第三章  合同条款</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第四章  项目说明及工程量清单</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第五章  响应文件格式</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第六章  具体评审办法</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第七章  响应文件格式</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6.3 除6．2内容外，采购单位以书面形式发出的对磋商文件的澄清或修改内容，均为磋商文件的组成部分，对采购单位和供应商起约束作用。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6.4 供应商获取磋商文件后，应仔细检查磋商文件的所有内容，如有问题应在获得磋商文件1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7．磋商文件的澄清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pacing w:val="-8"/>
          <w:sz w:val="24"/>
          <w:szCs w:val="24"/>
        </w:rPr>
        <w:t>.1 供应商在获得磋商文件后，若对磋商文件有任何疑问，应在前附表规定的时间以书面形式向采购单位提出澄清要求，发电子邮件至shzbqdb@163.com，并电话通知。超出时限提出的疑问，概不回答。</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8．磋商文件的修改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8.1 磋商文件发出后，在规定时限内，采购单位可对磋商文件进行必要的澄清和修改。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8.2磋商文件的修改将以书面及邮件的形式发送给所有的供应商，供应商应于收到该修改文件后1个工作日内以书面形式给予确认，逾期不确认视为认同。磋商文件的修改内容作为磋商文件的组成部分，具有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8.3 磋商文件的澄清、修改、补充等内容均以书面形式明确的内容为准。当磋商文件、磋商文件的澄清、修改、补充等在同一内容的表述上不一致时，以最后发出的文件为准。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8.4 为使供应商在编制响应文件时有充分的时间对磋商文件的澄清、修改、补充等内容进行研究，采购单位可以酌情延长提交文件的截止日期，具体时间将在磋商文件修改、补充通知中予以明确。</w:t>
      </w:r>
    </w:p>
    <w:p>
      <w:pPr>
        <w:pStyle w:val="4"/>
        <w:spacing w:before="0" w:after="0" w:line="360" w:lineRule="auto"/>
        <w:rPr>
          <w:rFonts w:ascii="仿宋" w:hAnsi="仿宋" w:eastAsia="仿宋" w:cs="仿宋"/>
          <w:sz w:val="24"/>
          <w:szCs w:val="24"/>
        </w:rPr>
      </w:pPr>
      <w:bookmarkStart w:id="15" w:name="_Toc20306"/>
      <w:bookmarkStart w:id="16" w:name="_Toc535048501"/>
      <w:bookmarkStart w:id="17" w:name="_Toc23330"/>
      <w:r>
        <w:rPr>
          <w:rFonts w:hint="eastAsia" w:ascii="仿宋" w:hAnsi="仿宋" w:eastAsia="仿宋" w:cs="仿宋"/>
          <w:sz w:val="24"/>
          <w:szCs w:val="24"/>
        </w:rPr>
        <w:t>（三） 响应文件的编制</w:t>
      </w:r>
      <w:bookmarkEnd w:id="15"/>
      <w:bookmarkEnd w:id="16"/>
      <w:bookmarkEnd w:id="17"/>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9．响应文件的语言及度量衡单位</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9.1响应文件和与采购有关的所有往来通知、函件均应使用中文。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9.2除工程技术规范另有规定外，响应文件使用的度量衡单位，均采用中华人民共和国法定计量单位。</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10．响应文件的组成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10.1响应文件由报价函、报价一览表、资格审查部分、商务部分、技术部分组成；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第一部分  报价函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2、法人参与响应的提供法定代表人证明及身份证复印件；授权代理人参与响应的提供法定代表人授权委托书、法定代表人身份证复印件、授权代理人的身份证明复印件；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3、报价一览表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4、磋商文件要求供应商提交的其他资料。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第二部分  资格审查部分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1、响应磋商文件要求的相关证明材料。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2、供应商对提供的以上资料的真实性负责，评审过程中磋商小组若对以上供应商提供的资料若发现有不实之处，按无效响应处理。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第三部分  商务部分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1、报价汇总表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2、工程量清单报价表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2.1.响应报价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2.2.工程项目总价表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第四部分  技术部分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1、施工组织设计或施工方案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（1）综合说明，质量、服务、安全文明施工目标；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（2）主要施工方法；新技术、新材料、新工艺、新设备的应用；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（3）工程投入的主要物资和施工机械设备情况、主要施工机械进场计划；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（4）劳动力安排计划；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（5）确保工程质量的技术组织措施；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（6）确保安全生产的技术组织措施；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（7）确保文明施工的技术组织措施；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（8）施工顺序、总进度安排及总形象进度示意图。</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2、项目管理机构配备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（1）项目经理或建造师简历表；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（2）项目管理班子配备情况及其它辅助说明资料、施工力量部署。</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供应商应接上述规定制作响应文件，并按磋商文件给定的相关格式进行编制（给定格式可以根据需要进行调整）；没有的格式可以自行设计。</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11．响应文件格式</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11</w:t>
      </w:r>
      <w:r>
        <w:rPr>
          <w:rFonts w:hint="eastAsia" w:ascii="仿宋" w:hAnsi="仿宋" w:eastAsia="仿宋" w:cs="仿宋"/>
          <w:spacing w:val="-8"/>
          <w:sz w:val="24"/>
          <w:szCs w:val="24"/>
        </w:rPr>
        <w:t>.1 响应文件包括本须知第10条中规定的内容，供应商提交的响应文件应当使用磋商文件所提供的响应文件全部格式（表格可以按同样格式扩展）。</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12．响应报价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12.1本工程为固定综合单价合同,响应报总价。供应商所报的综合单价应为完成一个规定计量单位的分部分项工程量清单项目或措施清单项目所需的人工费、材料费、施工机械使用费和企业管理费与利润，以及一定范围内的风险费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供应商应根据磋商文件、工程量清单、市场价格信息及有关规定，结合本工程特点、采购单位的相关要求及自身技术和管理水平、经营状况以及制定的施工方案，进行报价。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工程价款调整：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由于施工图设计变更、采购单位提供的工程量清单有误或项目特征表述与设计不符、以及其他非承包人原因导致的工程量清单项目、工程量发生变化所影响的工程价款，应按下列方法执行：</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（1）增加的工程量清单项目，其综合单价按照合同相关专用条款确定；</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（2）采购单位采购时提供的工程量有误或因非承包人原因引起的工程量变化，其工程量按实调整，但原有的综合单价不作调整。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12.2其他要求：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12.2.1工程所需临时水、电、道路及施工期间交通组织及周边关系协调等问题均由承包人自行解决，所需费用自行承担。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12.2.2施工过程中应确保沿线道路随时畅通，及时清理路面，保护没线设施，因施工造成的公共设施、构筑物，各类管线、缆等财产损失，由承包人负责；</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12.2.3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12.2.4报价要求：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报价依据：</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（1）《建设工程工程量清单计价规范》（GB50500-2013）；</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（2）《山东省建设工程工程量清单计价规则》（2011）；</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（4）磋商文件、采购控制价及其补充通知、答疑纪要；</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（5）建设工程相关文件及相关资料；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 xml:space="preserve">（6）施工现场情况、工程特点及拟定的响应施工组织设计或施工方案； </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（7）与建设项目相关的标准、规范等技术资料；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（8）市场价、工程造价管理机构发布的工程造价信息等；</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（9）其他相关资料。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12.2.5工程量清单报价格式中列明的所有需要填报的单价和合价，供应商均应填报，未填报的单价和合价，视为此项费用已包含在工程量清单的其他单价和合价中。</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12.2.6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12.2.7</w:t>
      </w:r>
      <w:r>
        <w:rPr>
          <w:rFonts w:hint="eastAsia" w:ascii="仿宋" w:hAnsi="仿宋" w:eastAsia="仿宋" w:cs="仿宋"/>
          <w:sz w:val="24"/>
          <w:szCs w:val="24"/>
          <w:lang w:val="zh-CN"/>
        </w:rPr>
        <w:t>供应商认为需要提交的其他相关证明文件。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13.响应货币</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13</w:t>
      </w:r>
      <w:r>
        <w:rPr>
          <w:rFonts w:hint="eastAsia" w:ascii="仿宋" w:hAnsi="仿宋" w:eastAsia="仿宋" w:cs="仿宋"/>
          <w:spacing w:val="-8"/>
          <w:sz w:val="24"/>
          <w:szCs w:val="24"/>
        </w:rPr>
        <w:t>.1本工程采购报价采用的币种为人民币。</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14．响应有效期</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14.1响应有效期见本须知前附表所规定的期限，在此期限内，凡符合本磋商文件要求的响应文件均保持有效。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14.2在特殊情况下，采购单位在原定响应有效期内，可以根据需要以书面形式向供应商提出延长响应有效期的要求，对此要求供应商须以书面形式予以答复。供应商可以拒绝采购单位这种要求，而不被没收</w:t>
      </w:r>
      <w:r>
        <w:rPr>
          <w:rFonts w:hint="eastAsia" w:ascii="仿宋" w:hAnsi="仿宋" w:eastAsia="仿宋" w:cs="仿宋"/>
          <w:sz w:val="24"/>
          <w:szCs w:val="24"/>
          <w:lang w:eastAsia="zh-CN"/>
        </w:rPr>
        <w:t>保证金</w:t>
      </w:r>
      <w:r>
        <w:rPr>
          <w:rFonts w:hint="eastAsia" w:ascii="仿宋" w:hAnsi="仿宋" w:eastAsia="仿宋" w:cs="仿宋"/>
          <w:sz w:val="24"/>
          <w:szCs w:val="24"/>
        </w:rPr>
        <w:t>。同意延长响应有效期的供应商既不能要求也不允许修改其响应文件，但需要相应的延长</w:t>
      </w:r>
      <w:r>
        <w:rPr>
          <w:rFonts w:hint="eastAsia" w:ascii="仿宋" w:hAnsi="仿宋" w:eastAsia="仿宋" w:cs="仿宋"/>
          <w:sz w:val="24"/>
          <w:szCs w:val="24"/>
          <w:lang w:eastAsia="zh-CN"/>
        </w:rPr>
        <w:t>保证金</w:t>
      </w:r>
      <w:r>
        <w:rPr>
          <w:rFonts w:hint="eastAsia" w:ascii="仿宋" w:hAnsi="仿宋" w:eastAsia="仿宋" w:cs="仿宋"/>
          <w:sz w:val="24"/>
          <w:szCs w:val="24"/>
        </w:rPr>
        <w:t>的有效期，在延长的响应有效期内，本须知第15条关于</w:t>
      </w:r>
      <w:r>
        <w:rPr>
          <w:rFonts w:hint="eastAsia" w:ascii="仿宋" w:hAnsi="仿宋" w:eastAsia="仿宋" w:cs="仿宋"/>
          <w:sz w:val="24"/>
          <w:szCs w:val="24"/>
          <w:lang w:eastAsia="zh-CN"/>
        </w:rPr>
        <w:t>保证金</w:t>
      </w:r>
      <w:r>
        <w:rPr>
          <w:rFonts w:hint="eastAsia" w:ascii="仿宋" w:hAnsi="仿宋" w:eastAsia="仿宋" w:cs="仿宋"/>
          <w:sz w:val="24"/>
          <w:szCs w:val="24"/>
        </w:rPr>
        <w:t>的退还与没收的规定仍然适用。</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15．保证金</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15.1供应商应在提交响应文件的同时，按本须知前附表规定提交保证金，并作为其响应文件的一部分。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15.2对于未能按要求提交保证金的供应商，采购单位将视为符合性审查不通过而予以无效响应。</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 如供应商发生下列情况之一时，保证金将被没收：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15.3.1 供应商在开标后至响应有效期满前撤回其响应文件；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15.3.2 成交后未能在规定期限内提交履约保证金或签订合同协议。</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16．供应商的替代方案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16</w:t>
      </w:r>
      <w:r>
        <w:rPr>
          <w:rFonts w:hint="eastAsia" w:ascii="仿宋" w:hAnsi="仿宋" w:eastAsia="仿宋" w:cs="仿宋"/>
          <w:spacing w:val="-8"/>
          <w:sz w:val="24"/>
          <w:szCs w:val="24"/>
        </w:rPr>
        <w:t>.1本次采购不接受替代方案。</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17．响应文件的份数和签署</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17.1 供应商应按本须知前附表规定的份数提交响应文件。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17.2 响应文件封面、密封条骑缝处及报价函均应加盖供应商印章并经法定代表人或其委托代理人签字或盖章。由委托代理人签字或盖章的响应文件中须同时提交响应文件签署授权委托书，否则响应文件签署无效。</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17.3 除供应商对错误处须修改外，全套响应文件应无涂改或行间插字和增删。如有修改，修改处应由供应商加盖供应商的印章或由授权代表签字或盖章。</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18．质疑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18.1参加本次采购活动的供应商认为磋商文件、采购过程和成交结果使自己的权益受到损害的，可以在知道或者应知道其权益受到损害之日起7个工作日内，以书面形式一次性向采购人或者采购代理机构提出质疑。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18.2质疑书内容应包括以下主要内容：</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18.2.1供应商的姓名或者名称、地址、邮编、联系人及联系电话；</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18.2.2质疑项目的名称、编号；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18.2.3具体、明确的质疑事项和与质疑事项相关的请求；</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18.2.4事实依据；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18.2.5必要的法律依据；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18.2.6提出质疑的日期。</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18.3供应商为自然人的，应当由本人签字；供应商为法人或者其他组织的，应当由法定代表人、主要负责人，或者其授权代表签字或者盖章，并加盖公章。否则采购人或者采购代理机构不予受理。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18.4除书面形式外，其他任何方式的质疑，采购人或者采购代理机构均不予接受和回复。</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18.5采购人或者采购代理机构在收到质疑书后7个工作日内做出书面答复，并以书面形式通知质疑人和其他有关供应商，但答复不得涉及商业秘密。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18.6质疑人对采购人、采购代理机构的答复不满意或者采购人、采购代理机构未在规定的时间内做出答复的，可以在答复期满后15个工作日内向同级监管部门投诉。</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18.7参加本次采购活动的供应商认为磋商文件、磋商过程和成交结果使自己的权益受到损害的，可以在知道或者应知道其权益受到损害之日起7个工作日内，以书面形式向采购人或者采购代理机构一次性提出质疑。</w:t>
      </w:r>
    </w:p>
    <w:p>
      <w:pPr>
        <w:pStyle w:val="2"/>
        <w:spacing w:line="360" w:lineRule="auto"/>
        <w:ind w:firstLine="480" w:firstLineChars="200"/>
        <w:rPr>
          <w:rFonts w:ascii="仿宋" w:hAnsi="仿宋" w:eastAsia="仿宋" w:cs="仿宋"/>
          <w:sz w:val="24"/>
          <w:szCs w:val="24"/>
        </w:rPr>
      </w:pPr>
      <w:bookmarkStart w:id="18" w:name="_Toc469327377"/>
      <w:r>
        <w:rPr>
          <w:rFonts w:hint="eastAsia" w:ascii="仿宋" w:hAnsi="仿宋" w:eastAsia="仿宋" w:cs="仿宋"/>
          <w:sz w:val="24"/>
          <w:szCs w:val="24"/>
        </w:rPr>
        <w:t>18.8质疑联系方式详见第一章项目负责人联系方式</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19.投诉</w:t>
      </w:r>
      <w:bookmarkEnd w:id="18"/>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19.1按照相关的法律、法规及规定，质疑人对采购人、采购代理机构的答复不满意或者采购人、采购代理机构未在规定的时间内做出答复的，可以在答复期满后15个工作日内向同级监管部门投诉。</w:t>
      </w:r>
    </w:p>
    <w:p>
      <w:pPr>
        <w:pStyle w:val="4"/>
        <w:spacing w:before="0" w:after="0" w:line="360" w:lineRule="auto"/>
        <w:rPr>
          <w:rFonts w:ascii="仿宋" w:hAnsi="仿宋" w:eastAsia="仿宋" w:cs="仿宋"/>
          <w:sz w:val="24"/>
          <w:szCs w:val="24"/>
        </w:rPr>
      </w:pPr>
      <w:bookmarkStart w:id="19" w:name="_Toc535048502"/>
      <w:bookmarkStart w:id="20" w:name="_Toc710"/>
      <w:bookmarkStart w:id="21" w:name="_Toc509"/>
      <w:r>
        <w:rPr>
          <w:rFonts w:hint="eastAsia" w:ascii="仿宋" w:hAnsi="仿宋" w:eastAsia="仿宋" w:cs="仿宋"/>
          <w:sz w:val="24"/>
          <w:szCs w:val="24"/>
        </w:rPr>
        <w:t>（四）响应文件的提交</w:t>
      </w:r>
      <w:bookmarkEnd w:id="19"/>
      <w:bookmarkEnd w:id="20"/>
      <w:bookmarkEnd w:id="21"/>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20．响应文件的装订、密封和标记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20.1响应文件的装订要求：响应文件的正本和副本均需采用A4纸张打印，采用WORD或EXCEL文本，字迹应清晰易于辨认，于左侧按目录顺序装订成册，并在每页上注明页码。应在响应文件封面的右上角清楚注明“正本”、“副本”和“包号”。正本和副本如有不一致之处，以正本为准。报价一览表单独密封一份，当报价一览表与正本不一致时，以报价一览表为准，并加盖单位公章和法定代表人（或代理人）印鉴。由委托代理人签字或盖章的响应文件中须同时提交响应文件签署授权委托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供应商所提交的响应文件必须胶装。</w:t>
      </w:r>
    </w:p>
    <w:p>
      <w:pPr>
        <w:overflowPunct w:val="0"/>
        <w:autoSpaceDE w:val="0"/>
        <w:snapToGrid w:val="0"/>
        <w:spacing w:line="360" w:lineRule="auto"/>
        <w:ind w:firstLine="450"/>
        <w:rPr>
          <w:rFonts w:ascii="仿宋" w:hAnsi="仿宋" w:eastAsia="仿宋" w:cs="仿宋"/>
        </w:rPr>
      </w:pPr>
      <w:r>
        <w:rPr>
          <w:rFonts w:hint="eastAsia" w:ascii="仿宋" w:hAnsi="仿宋" w:eastAsia="仿宋" w:cs="仿宋"/>
          <w:b/>
          <w:spacing w:val="-8"/>
          <w:sz w:val="24"/>
          <w:szCs w:val="24"/>
        </w:rPr>
        <w:t>响应文件必须胶装，否则为无效响应文件。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供应商应将响应文件的正本和副本分别密封；报价一览表单独密封一份，资质证明文件单独密封一份；响应文件电子版单独密封一份。</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 在响应文件密封袋上应注明：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20.3.1 项目名称、项目编号、所响应包号；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20.3.2 供应商名称、地址、联系人、联系电话；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20.3.3 “开标时才能启封”字样。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20.4 供应商应按磋商文件附件的密封件封面格式密封响应文件及相关资料，以便本须知第23条规定情况发生时，采购单位可按封袋上标明的供应商地址将响应文件原封退回。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20.5 如果响应文件没有按本须知第20.1款、第20.2款和第0.3款规定装订和加写标记及密封，采购单位将不承担响应文件提前开封的责任。对由此造成的提前开封的响应文件将予以拒绝，并退还给供应商。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20.6 所有响应文件的外层密封袋的封口处应加盖供应商公章、法定代表人印鉴（或授权代表签字）。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20.7报价一览表单独密封在一个信封内，与响应文件同时递交。在信封密封骑缝处加盖供应商公章、法定代表人或法定代表人授权委托人印章，并在封面上注明：“报价一览表”、项目名称、项目编号、所响应包号、供应商名称、供应商地址及联系方式、 “开标时才能启封”字样。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20.8 电子文档可以是WORD或EXCEL格式，也按上述要求单独密封和标志。</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sz w:val="24"/>
          <w:szCs w:val="24"/>
        </w:rPr>
        <w:t>20.9资质证明文件及相关材料也按上述要求单独密封和标志。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21．响应文件的提交</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21.</w:t>
      </w:r>
      <w:r>
        <w:rPr>
          <w:rFonts w:hint="eastAsia" w:ascii="仿宋" w:hAnsi="仿宋" w:eastAsia="仿宋" w:cs="仿宋"/>
          <w:spacing w:val="-8"/>
          <w:sz w:val="24"/>
          <w:szCs w:val="24"/>
        </w:rPr>
        <w:t>1供应商应按本须知前附表所规定的地点，于截止时间前提交响应文件。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22．响应文件提交的截止时间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22.1响应文件提交的截止时间见本须知前附表规定。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22.2采购单位可按本须知第8条规定以修改补充通知的方式，酌情延长提交响应文件的截止时间。在此情况下，供应商的所有权利和义务以及供应商受制约的截止时间，均以延长后新的响应截止时间为准。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23．迟交的响应文件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23</w:t>
      </w:r>
      <w:r>
        <w:rPr>
          <w:rFonts w:hint="eastAsia" w:ascii="仿宋" w:hAnsi="仿宋" w:eastAsia="仿宋" w:cs="仿宋"/>
          <w:spacing w:val="-8"/>
          <w:sz w:val="24"/>
          <w:szCs w:val="24"/>
        </w:rPr>
        <w:t>.1在本须知第20条规定的响应截止时间以后递交的响应文件，将被拒绝并退回给供应商。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24．响应文件的补充、修改与撤回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24.1供应商在提交响应文件以后，在规定的响应截止时间之前，可以以书面形式补充修改或撤回已提交的响应文件，并以书面形式通知采购单位。补充、修改的内容为响应文件的组成部分。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24.2供应商对响应文件的补充、修改，应按本须知第20条有关规定密封、标记和提交，并在内外层响应文件密封袋上清楚标明“补充、修改”或“撤回”字样。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24.3采购撤回通知书也可采用邮件的方式，只要采购单位在响应截止日期前收到此邮件，但此邮件应满足下列条件：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（1）邮件上应有供应商名称、地址、电话并有供应商公章；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（2）具有本须知第20.3款所要求的标注；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（3）非常清楚地标明“撤回”字样；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（4）有授权代表的签字或随后有经签署的确认文本。</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24.4在响应截止时间之后，供应商不得补充、修改响应文件。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24.5在响应截止日期至供应商在报价函中规定的响应有效期满之前的这段时间内，供应商不得撤回其响应文件，否则其</w:t>
      </w:r>
      <w:r>
        <w:rPr>
          <w:rFonts w:hint="eastAsia" w:ascii="仿宋" w:hAnsi="仿宋" w:eastAsia="仿宋" w:cs="仿宋"/>
          <w:sz w:val="24"/>
          <w:szCs w:val="24"/>
          <w:lang w:eastAsia="zh-CN"/>
        </w:rPr>
        <w:t>保证金</w:t>
      </w:r>
      <w:r>
        <w:rPr>
          <w:rFonts w:hint="eastAsia" w:ascii="仿宋" w:hAnsi="仿宋" w:eastAsia="仿宋" w:cs="仿宋"/>
          <w:sz w:val="24"/>
          <w:szCs w:val="24"/>
        </w:rPr>
        <w:t>将被没收。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25．资格后审（详见开标会部分）</w:t>
      </w:r>
    </w:p>
    <w:p>
      <w:pPr>
        <w:pStyle w:val="4"/>
        <w:spacing w:before="0" w:after="0" w:line="360" w:lineRule="auto"/>
        <w:rPr>
          <w:rFonts w:ascii="仿宋" w:hAnsi="仿宋" w:eastAsia="仿宋" w:cs="仿宋"/>
          <w:sz w:val="24"/>
          <w:szCs w:val="24"/>
        </w:rPr>
      </w:pPr>
      <w:bookmarkStart w:id="22" w:name="_Toc24049"/>
      <w:bookmarkStart w:id="23" w:name="_Toc535048503"/>
      <w:bookmarkStart w:id="24" w:name="_Toc24278"/>
      <w:r>
        <w:rPr>
          <w:rFonts w:hint="eastAsia" w:ascii="仿宋" w:hAnsi="仿宋" w:eastAsia="仿宋" w:cs="仿宋"/>
          <w:sz w:val="24"/>
          <w:szCs w:val="24"/>
        </w:rPr>
        <w:t>（五）开标会</w:t>
      </w:r>
      <w:bookmarkEnd w:id="22"/>
      <w:bookmarkEnd w:id="23"/>
      <w:bookmarkEnd w:id="24"/>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26．开标会程序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26.1采购单位按本须知前附表所规定的时间和地点公开举行开标会议，并邀请所有供应商参加。供应商的法定代表人或授权代表必须出席开标会议，并签名报到，如不能按时参加,视为自动放弃。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26.2 按规定提交合格的撤回通知的响应文件不予开封，并退回给供应商；在响应截止时间之后递交的响应文件，将不予接收，原封退还给供应商。按本须知第25条规定确定为无效的响应文件，不予送交评审。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 开标会议程序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26.3.1 开标会议由采购代理单位主持，按照开标会程序进行。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26.3.2 报价：响应文件经检查无误后当众拆封，由报价人统一宣读报价一览表，其内容要与响应文件一致，否则以报价一览表为准。报价完毕后如无误，各供应商授权代表对报价内容现场签字认可。</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26.3.3 采购单位在磋商文件要求提交响应文件的截止时间前收到的响应文件，开标会议上都应当众予以拆封、宣读报价一览表。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26.3.4采购代理单位对开标会议过程进行记录，并存档备查。</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26.3.5 响应文件有下列情形之一的。采购单位不予受理：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1）逾期送达的或者未送达指定地点的；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2）未按本须知第20条的要求装订、密封和标记的。</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27．响应文件的有效性</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27.1评审时，响应文件出现下列情形之一的，由评审委员会初审后按无效响应处理：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w:t>
      </w:r>
      <w:r>
        <w:rPr>
          <w:rFonts w:hint="eastAsia" w:ascii="仿宋" w:hAnsi="仿宋" w:eastAsia="仿宋" w:cs="仿宋"/>
          <w:spacing w:val="-8"/>
          <w:sz w:val="24"/>
          <w:szCs w:val="24"/>
        </w:rPr>
        <w:t>不具备响应须知前附表</w:t>
      </w:r>
      <w:r>
        <w:rPr>
          <w:rFonts w:hint="eastAsia" w:ascii="仿宋" w:hAnsi="仿宋" w:eastAsia="仿宋" w:cs="仿宋"/>
          <w:spacing w:val="-8"/>
          <w:sz w:val="24"/>
          <w:szCs w:val="24"/>
          <w:lang w:eastAsia="zh-CN"/>
        </w:rPr>
        <w:t>供应商资格要求</w:t>
      </w:r>
      <w:r>
        <w:rPr>
          <w:rFonts w:hint="eastAsia" w:ascii="仿宋" w:hAnsi="仿宋" w:eastAsia="仿宋" w:cs="仿宋"/>
          <w:spacing w:val="-8"/>
          <w:sz w:val="24"/>
          <w:szCs w:val="24"/>
        </w:rPr>
        <w:t>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w:t>
      </w:r>
      <w:r>
        <w:rPr>
          <w:rFonts w:hint="eastAsia" w:ascii="仿宋" w:hAnsi="仿宋" w:eastAsia="仿宋" w:cs="仿宋"/>
          <w:spacing w:val="-8"/>
          <w:sz w:val="24"/>
          <w:szCs w:val="24"/>
        </w:rPr>
        <w:t>响应文件未按磋商文件规定要求制作、密封、签署、盖章；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27.1.3</w:t>
      </w:r>
      <w:r>
        <w:rPr>
          <w:rFonts w:hint="eastAsia" w:ascii="仿宋" w:hAnsi="仿宋" w:eastAsia="仿宋" w:cs="仿宋"/>
          <w:spacing w:val="-8"/>
          <w:sz w:val="24"/>
          <w:szCs w:val="24"/>
        </w:rPr>
        <w:t>拒绝报价、报价不确定、超出预算控制价或者有多个报价；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27.1.4</w:t>
      </w:r>
      <w:r>
        <w:rPr>
          <w:rFonts w:hint="eastAsia" w:ascii="仿宋" w:hAnsi="仿宋" w:eastAsia="仿宋" w:cs="仿宋"/>
          <w:spacing w:val="-8"/>
          <w:sz w:val="24"/>
          <w:szCs w:val="24"/>
        </w:rPr>
        <w:t>法定代表人或其授权代表未按时参加唱价会议或参加唱价会议未提供有效证明；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27.1.5</w:t>
      </w:r>
      <w:r>
        <w:rPr>
          <w:rFonts w:hint="eastAsia" w:ascii="仿宋" w:hAnsi="仿宋" w:eastAsia="仿宋" w:cs="仿宋"/>
          <w:spacing w:val="-8"/>
          <w:sz w:val="24"/>
          <w:szCs w:val="24"/>
        </w:rPr>
        <w:t>不符合磋商文件中规定资格条件；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27.1.6</w:t>
      </w:r>
      <w:r>
        <w:rPr>
          <w:rFonts w:hint="eastAsia" w:ascii="仿宋" w:hAnsi="仿宋" w:eastAsia="仿宋" w:cs="仿宋"/>
          <w:spacing w:val="-8"/>
          <w:sz w:val="24"/>
          <w:szCs w:val="24"/>
        </w:rPr>
        <w:t xml:space="preserve">超出经营范围报价； </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27.1.7响应文件正副本未区分或者内容严重不一致；</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27.1.8响应有效期不满足磋商文件要求；</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27.1.9无供应商法定代表人或其授权代表签字；</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27.1.10联合体未提交联合体协议书；</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27.1.11响应文件未完全满足磋商文件中带“★”号的条款或指标，或超过磋商文件规定的允许出现负偏差的最大范围、幅度和最高项数；</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27.1.12对磋商文件要求的技术参数整体复制粘贴经磋商小组认定与所报服务不符；</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27.1.13低于成本价且无法提供相关证明材料；</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27.1.14磋商小组认定施工方案不符合磋商文件要求；</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27.1.15评审期间，没有按磋商小组要求提交经法定代表人或授权代表签字的澄清、说明、补正或改变了响应文件实质性内容；</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27.1.16供应商未提交最终报价；</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27.1.17供应商存在弄虚作假的行为；</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27.1.18属于采购人与供应商、供应商与供应商相互串通响应情形；</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27.1.19对采购人、采购代理机构、磋商小组及其他工作人员施加影响，有碍公平、公正；</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27.1.20磋商文件规定的其他报价无效情形；</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27.1.21法律、法规、规章规定属于报价无效的其他情形。</w:t>
      </w:r>
    </w:p>
    <w:p>
      <w:pPr>
        <w:overflowPunct w:val="0"/>
        <w:autoSpaceDE w:val="0"/>
        <w:snapToGrid w:val="0"/>
        <w:spacing w:line="360" w:lineRule="auto"/>
        <w:ind w:firstLine="448"/>
        <w:rPr>
          <w:rFonts w:ascii="仿宋" w:hAnsi="仿宋" w:eastAsia="仿宋" w:cs="仿宋"/>
          <w:spacing w:val="-8"/>
          <w:sz w:val="24"/>
          <w:szCs w:val="24"/>
        </w:rPr>
      </w:pPr>
      <w:r>
        <w:rPr>
          <w:rFonts w:hint="eastAsia" w:ascii="仿宋" w:hAnsi="仿宋" w:eastAsia="仿宋" w:cs="仿宋"/>
          <w:spacing w:val="-8"/>
          <w:sz w:val="24"/>
          <w:szCs w:val="24"/>
        </w:rPr>
        <w:t>对报价无效的认定，必须经磋商小组集体作出决定并出具报价无效的事实依据，由供应商法定代表人或其授权代表签字确认，拒绝签字的，不影响磋商小组作出的决定。</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27.2 采购单位将有效响应文件，送磋商小组进行评审、比较。</w:t>
      </w:r>
    </w:p>
    <w:p>
      <w:pPr>
        <w:pStyle w:val="4"/>
        <w:spacing w:before="0" w:after="0" w:line="360" w:lineRule="auto"/>
        <w:rPr>
          <w:rFonts w:ascii="仿宋" w:hAnsi="仿宋" w:eastAsia="仿宋" w:cs="仿宋"/>
          <w:sz w:val="24"/>
          <w:szCs w:val="24"/>
        </w:rPr>
      </w:pPr>
      <w:bookmarkStart w:id="25" w:name="_Toc535048504"/>
      <w:bookmarkStart w:id="26" w:name="_Toc32386"/>
      <w:bookmarkStart w:id="27" w:name="_Toc12363"/>
      <w:r>
        <w:rPr>
          <w:rFonts w:hint="eastAsia" w:ascii="仿宋" w:hAnsi="仿宋" w:eastAsia="仿宋" w:cs="仿宋"/>
          <w:sz w:val="24"/>
          <w:szCs w:val="24"/>
        </w:rPr>
        <w:t>（六）评审</w:t>
      </w:r>
      <w:bookmarkEnd w:id="25"/>
      <w:bookmarkEnd w:id="26"/>
      <w:bookmarkEnd w:id="27"/>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28．磋商小组与评审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28.1 开标会议结束后进入评审程序，磋商小组由采购单位依法组建，负责评审活动。评审采用保密方式进行，并接受有关行政主管部门的监督。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28.2 磋商小组将依据相关法律规定由采购单位和有关专家组成。</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28.3磋商小组由采购人代表和评审专家共3人以上单数组成，其中评审专家人数不得少于磋商小组成员总数的2/3。</w:t>
      </w:r>
      <w:r>
        <w:rPr>
          <w:rFonts w:hint="eastAsia" w:ascii="仿宋" w:hAnsi="仿宋" w:eastAsia="仿宋" w:cs="仿宋"/>
          <w:sz w:val="24"/>
          <w:szCs w:val="24"/>
        </w:rPr>
        <w:br w:type="textWrapping"/>
      </w:r>
      <w:r>
        <w:rPr>
          <w:rFonts w:hint="eastAsia" w:ascii="仿宋" w:hAnsi="仿宋" w:eastAsia="仿宋" w:cs="仿宋"/>
          <w:b/>
          <w:spacing w:val="-8"/>
          <w:sz w:val="24"/>
          <w:szCs w:val="24"/>
        </w:rPr>
        <w:t>29．评审过程的保密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29.1开标后，直至授予成交人合同为止，凡属于对响应文件的审查、澄清、评价和比较有关的资料以及成交候选人的推荐情况，与评审有关的其他任何情况均严格保密。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29.2在响应文件的评审和比较、成交候选人推荐以及授予合同的过程中，供应商向采购单位和磋商小组施加影响的任何行为，都将会导致其响应被拒绝。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29.3成交人确定后，采购单位不对未成交的供应商就评审过程以及未成交原因作出任何解释。未成交人不得向磋商小组或其他有关人员索问评审过程的情况和材料。</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30．评审纪律及规定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30.1为了规范评审活动，保证评审的公平、公正，维护采购响应活动当事人的合法权益，依照有关法律、法规制定本规定。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30.2评审活动遵循公平、公正、科学、择优的原则依法进行，任何单位和个人不得非法干预或者影响评审过程和结果。</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30.3评审活动应在严格保密的情况下进行，只有依法组建的磋商小组的成员、监督人员、公证人员及经批准的采购单位或者其委托的采购代理单位的有关工作人员参加。其他任何人员不得随意进入评审地点。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30.4在评审过程中，只有磋商小组的成员享有评审发言权，其他人员不得随意发表意见。</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30.5磋商小组成员应当客观、公正的履行职责，遵守职业道德，对所提出的评审意见承担个人责任。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30.6磋商小组应当根据磋商文件及相关答疑、补充通知规定的评审标准和方法，对响应文件进行系统评审和比较。磋商文件及相关答疑、补充通知中没有规定的标准和方法不得作为评审的依据。</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30.7磋商小组成员不得与任何供应商或者与采购结果有利害关系的人进行私下接触，不得接受供应商、中介人、其他利害关系人的财物或者其他好处。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30.8评审期间，评审人员不得单独出入评审地点、与外界通讯、会客等。</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30.9磋商小组成员和与评审活动有关的工作人员不得透露对响应文件的评审和比较、成交候选人的推荐情况以及与评审有关的其他情况。</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30.10评审结束后，各评标人员应将全部资料整理上交采购单位或者采购代理单位，严禁将评审过程中有关资料向供应商或者其他单位提供。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30.11磋商小组成员在评审过程中擅离职守，影响评审程序正常进行或者在评审过程中不能客观公正的履行职责的，给予警告；情节严重的，取消担任磋商小组的成员资格，不得继续参加依法必须进行采购项目的评审活动，并处一万元以下的罚款；构成犯罪的，报请有关部门依法追究刑事责任。</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31．响应文件的澄清</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31.1 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34条规定，凡属于磋商小组在评审中发现的计算错误并进行核实的修改不在此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 xml:space="preserve">32．响应文件的初步评审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32.1 开标会议后，经采购单位审查符合有关规定的响应文件，才能提交磋商小组进行评审。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32.2 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32.3 如果响应文件实质上不响应磋商文件的各项要求，磋商小组将予以拒绝，并且不允许供应商通过修改或撤销其不符合要求的差异或保留，使之成为具有响应性的采购。</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33．响应文件错误的修正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 磋商小组将对确定为实质上响应磋商文件要求的响应文件进行校核，看其是否有计算、累计或表达上的错误，修正错误的原则如下：</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33.1.1 如果数字表示的金额和用文字表示的金额不一致时，应以文字表示的金额为准；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33.1.2 当单价与工程量的乘积与合价不一致时，以单价为准，除非磋商小组认为单价有明显的小数点错误，此时应以标出的合价为准，并修改单价。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33.2 按上述修正错误的原则及方法调整或修正响应文件的报价，供应商同意后，调整后的报价对供应商起约束作用。如果供应商不接受修正后的报价，则其响应将被拒绝，并且其</w:t>
      </w:r>
      <w:r>
        <w:rPr>
          <w:rFonts w:hint="eastAsia" w:ascii="仿宋" w:hAnsi="仿宋" w:eastAsia="仿宋" w:cs="仿宋"/>
          <w:sz w:val="24"/>
          <w:szCs w:val="24"/>
          <w:lang w:eastAsia="zh-CN"/>
        </w:rPr>
        <w:t>保证金</w:t>
      </w:r>
      <w:r>
        <w:rPr>
          <w:rFonts w:hint="eastAsia" w:ascii="仿宋" w:hAnsi="仿宋" w:eastAsia="仿宋" w:cs="仿宋"/>
          <w:sz w:val="24"/>
          <w:szCs w:val="24"/>
        </w:rPr>
        <w:t>也将被没收，并不影响评审工作。</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34．响应文件的评审、比较和否决</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34.1 磋商小组将按照本须知第3l条规定，仅对在实质上响应磋商文件要求的响应文件进行评估和比较。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34.2 在评审过程中，磋商小组可以以书面形式要求供应商就响应文件中含义不明确的内容进行书面说明并提供相关材料。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34.3 磋商小组依据本须知前附表规定的评审原则和办法，对响应文件进行评审和比较，向采购单位提出书面评审报告，并推荐排名第一的为成交人。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34.4 评审方法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本工程采用综合评分法，以报价合理、确保服务和工程质量、施工方案切实可行等为评审定标的标准，以打分方式(满分100分)择优确定成交人。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具体评审办法及评分细则详见本磋商文件第五章。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34.5 磋商小组经评审，认为所有响应都不符合磋商文件要求的，可以否决所有响应。所有响应被否决后，采购单位将依法重新采购。</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34.6 根据磋商文件规定的工期和质量要求，能保证达到要求者为有效标书，达不到要求者可视为无效响应。</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34.7 对提供虚假事实骗取成交的供应商，采购单位将取消其成交资格，其</w:t>
      </w:r>
      <w:r>
        <w:rPr>
          <w:rFonts w:hint="eastAsia" w:ascii="仿宋" w:hAnsi="仿宋" w:eastAsia="仿宋" w:cs="仿宋"/>
          <w:sz w:val="24"/>
          <w:szCs w:val="24"/>
          <w:lang w:eastAsia="zh-CN"/>
        </w:rPr>
        <w:t>保证金</w:t>
      </w:r>
      <w:r>
        <w:rPr>
          <w:rFonts w:hint="eastAsia" w:ascii="仿宋" w:hAnsi="仿宋" w:eastAsia="仿宋" w:cs="仿宋"/>
          <w:sz w:val="24"/>
          <w:szCs w:val="24"/>
        </w:rPr>
        <w:t>将被没收。</w:t>
      </w:r>
    </w:p>
    <w:p>
      <w:pPr>
        <w:pStyle w:val="4"/>
        <w:spacing w:before="0" w:after="0" w:line="360" w:lineRule="auto"/>
        <w:rPr>
          <w:rFonts w:ascii="仿宋" w:hAnsi="仿宋" w:eastAsia="仿宋" w:cs="仿宋"/>
          <w:sz w:val="24"/>
          <w:szCs w:val="24"/>
        </w:rPr>
      </w:pPr>
      <w:bookmarkStart w:id="28" w:name="_Toc86"/>
      <w:bookmarkStart w:id="29" w:name="_Toc535048505"/>
      <w:bookmarkStart w:id="30" w:name="_Toc15749"/>
      <w:r>
        <w:rPr>
          <w:rFonts w:hint="eastAsia" w:ascii="仿宋" w:hAnsi="仿宋" w:eastAsia="仿宋" w:cs="仿宋"/>
          <w:sz w:val="24"/>
          <w:szCs w:val="24"/>
        </w:rPr>
        <w:t>（七）定标</w:t>
      </w:r>
      <w:bookmarkEnd w:id="28"/>
      <w:bookmarkEnd w:id="29"/>
      <w:bookmarkEnd w:id="30"/>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35</w:t>
      </w:r>
      <w:r>
        <w:rPr>
          <w:rFonts w:hint="eastAsia" w:ascii="仿宋" w:hAnsi="仿宋" w:eastAsia="仿宋" w:cs="仿宋"/>
          <w:spacing w:val="-8"/>
          <w:sz w:val="24"/>
          <w:szCs w:val="24"/>
        </w:rPr>
        <w:t>．</w:t>
      </w:r>
      <w:r>
        <w:rPr>
          <w:rFonts w:hint="eastAsia" w:ascii="仿宋" w:hAnsi="仿宋" w:eastAsia="仿宋" w:cs="仿宋"/>
          <w:sz w:val="24"/>
          <w:szCs w:val="24"/>
        </w:rPr>
        <w:t>根据磋商文件确定的评审办法，按综合评审结果进行排序，选取本项目的成交候选人或根据采购单位的授权直接确定成交人</w:t>
      </w:r>
      <w:r>
        <w:rPr>
          <w:rFonts w:hint="eastAsia" w:ascii="仿宋" w:hAnsi="仿宋" w:eastAsia="仿宋" w:cs="仿宋"/>
          <w:spacing w:val="-8"/>
          <w:sz w:val="24"/>
          <w:szCs w:val="24"/>
        </w:rPr>
        <w:t>。</w:t>
      </w:r>
    </w:p>
    <w:p>
      <w:pPr>
        <w:pStyle w:val="4"/>
        <w:spacing w:before="0" w:after="0" w:line="360" w:lineRule="auto"/>
        <w:rPr>
          <w:rFonts w:ascii="仿宋" w:hAnsi="仿宋" w:eastAsia="仿宋" w:cs="仿宋"/>
          <w:sz w:val="24"/>
          <w:szCs w:val="24"/>
        </w:rPr>
      </w:pPr>
      <w:bookmarkStart w:id="31" w:name="_Toc9304"/>
      <w:bookmarkStart w:id="32" w:name="_Toc8922"/>
      <w:bookmarkStart w:id="33" w:name="_Toc535048506"/>
      <w:r>
        <w:rPr>
          <w:rFonts w:hint="eastAsia" w:ascii="仿宋" w:hAnsi="仿宋" w:eastAsia="仿宋" w:cs="仿宋"/>
          <w:sz w:val="24"/>
          <w:szCs w:val="24"/>
        </w:rPr>
        <w:t>（八）合同的授予</w:t>
      </w:r>
      <w:bookmarkEnd w:id="31"/>
      <w:bookmarkEnd w:id="32"/>
      <w:bookmarkEnd w:id="33"/>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36．合同授予标准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36.1 合同将授予符合以下条件的供应商：响应文件已被确认，实质上符合磋商文件的要求，具备履行合同的能力，且得分排名第一，已按要求缴纳履约保证金。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 xml:space="preserve">36.2 采购单位与成交人将于发出成交通知书后30日内，按照磋商文件和成交人的响应文件签订施工合同。采购单位和成交人不得再行订立背离合同实质性内容的其他协议。如因成交人原因造成不能按时签订施工合同的，采购单位有权将合同授予本包号排名第二的成交候选人。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36.3 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36.4成交人应当按照合同约定的履约责任，在保证质量的前提下完成成交项目施工，不得将成交项目转包或分包给他人，否则视为违约，采购单位有权解除合同并没收履约保证金。</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37．采购单位拒绝响应标的权力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37.1 采购单位不承诺将合同授予报价最低的供应商。采购单位在发出成交通知书前，有权依据磋商小组的评审报告拒绝任何不合格的响应。</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38．成交通知书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38.1 确定出成交人后，采购单位将成交结果报采购管理部门，并将成交结果进行公示。公示期内无异议，采购单位将以书面形式通知成交人其响应被接受，同时将成交结果通知所有未成交的供应商。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38.2 成交通知书为合同的组成部分。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39．合同协议书的签订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39.1 采购单位与成交人将于成交通知书发出之日起30日内，按照磋商文件和成交人的响应文件订立书面工程施工合同。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39.2 成交人如不按本采购须知第37．1款的规定与采购单位订立合同，则采购单位将废除授标，保证金将不予退还，给采购单位造成的损失超过保证金数额的，还应当对超过部分予以赔偿，同时依法承担相应法律责任。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39.3 成交人应当按照合同约定履行义务，完成成交项目施工，不得将成交项目施工转让(转包)给他人。</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40．纪律与监督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.1 严禁供应商向参与评审工作的有关人员行贿，使其泄露一切与评审工作有关的信息。在评审期间，不得邀请参与评审工作的有关人员到供应商单位参观考察或出席供应商主办的或赞助的任何活动。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.2 供应商在采购过程中严禁互相串通、结盟，损害采购的公正性和竞争性，或以任何方式影响其他供应商参与正当采购的。</w:t>
      </w:r>
    </w:p>
    <w:p>
      <w:pPr>
        <w:overflowPunct w:val="0"/>
        <w:autoSpaceDE w:val="0"/>
        <w:snapToGrid w:val="0"/>
        <w:spacing w:line="360" w:lineRule="auto"/>
        <w:ind w:firstLine="480"/>
        <w:rPr>
          <w:rFonts w:ascii="仿宋" w:hAnsi="仿宋" w:eastAsia="仿宋" w:cs="仿宋"/>
          <w:sz w:val="44"/>
        </w:rPr>
      </w:pPr>
      <w:r>
        <w:rPr>
          <w:rFonts w:hint="eastAsia" w:ascii="仿宋" w:hAnsi="仿宋" w:eastAsia="仿宋" w:cs="仿宋"/>
          <w:sz w:val="24"/>
          <w:szCs w:val="24"/>
        </w:rPr>
        <w:t>40</w:t>
      </w:r>
      <w:r>
        <w:rPr>
          <w:rFonts w:hint="eastAsia" w:ascii="仿宋" w:hAnsi="仿宋" w:eastAsia="仿宋" w:cs="仿宋"/>
          <w:spacing w:val="-8"/>
          <w:sz w:val="24"/>
          <w:szCs w:val="24"/>
        </w:rPr>
        <w:t>.3 如发现供应商有上述不正当竞争行为，将取消其响应资格或成交资格。</w:t>
      </w:r>
      <w:r>
        <w:rPr>
          <w:rFonts w:hint="eastAsia" w:ascii="仿宋" w:hAnsi="仿宋" w:eastAsia="仿宋" w:cs="仿宋"/>
          <w:b/>
        </w:rPr>
        <w:br w:type="page"/>
      </w:r>
    </w:p>
    <w:p>
      <w:pPr>
        <w:pStyle w:val="3"/>
        <w:spacing w:before="0" w:after="0" w:line="360" w:lineRule="auto"/>
        <w:jc w:val="center"/>
        <w:rPr>
          <w:rFonts w:ascii="仿宋" w:hAnsi="仿宋" w:eastAsia="仿宋" w:cs="仿宋"/>
          <w:b w:val="0"/>
        </w:rPr>
      </w:pPr>
      <w:bookmarkStart w:id="34" w:name="_Toc535048507"/>
      <w:bookmarkStart w:id="35" w:name="_Toc2962"/>
      <w:r>
        <w:rPr>
          <w:rFonts w:hint="eastAsia" w:ascii="仿宋" w:hAnsi="仿宋" w:eastAsia="仿宋" w:cs="仿宋"/>
          <w:b w:val="0"/>
          <w:sz w:val="40"/>
        </w:rPr>
        <w:t>第二章 供应商应当提交的资格、资信等证明文件</w:t>
      </w:r>
      <w:bookmarkEnd w:id="34"/>
      <w:bookmarkEnd w:id="35"/>
    </w:p>
    <w:p>
      <w:pPr>
        <w:spacing w:line="360" w:lineRule="auto"/>
        <w:ind w:firstLine="451" w:firstLineChars="171"/>
        <w:rPr>
          <w:rFonts w:ascii="仿宋" w:hAnsi="仿宋" w:eastAsia="仿宋" w:cs="仿宋"/>
          <w:spacing w:val="-8"/>
        </w:rPr>
      </w:pPr>
      <w:bookmarkStart w:id="36" w:name="_Toc434614158"/>
      <w:r>
        <w:rPr>
          <w:rFonts w:hint="eastAsia" w:ascii="仿宋" w:hAnsi="仿宋" w:eastAsia="仿宋" w:cs="仿宋"/>
          <w:spacing w:val="-8"/>
        </w:rPr>
        <w:t>1.资格、资信等证明文件目录</w:t>
      </w:r>
      <w:bookmarkEnd w:id="36"/>
    </w:p>
    <w:tbl>
      <w:tblPr>
        <w:tblStyle w:val="20"/>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43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t>序号</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t>证明材料名称</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t>1</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pacing w:val="-8"/>
                <w:sz w:val="24"/>
                <w:szCs w:val="24"/>
              </w:rPr>
            </w:pPr>
            <w:r>
              <w:rPr>
                <w:rFonts w:hint="eastAsia" w:ascii="仿宋" w:hAnsi="仿宋" w:eastAsia="仿宋" w:cs="仿宋"/>
                <w:spacing w:val="-8"/>
                <w:sz w:val="24"/>
                <w:szCs w:val="24"/>
              </w:rPr>
              <w:t>合法经营权的凭证（如:营业执照、登记证书、执业许可证等）</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pacing w:val="-8"/>
                <w:sz w:val="24"/>
                <w:szCs w:val="24"/>
              </w:rPr>
            </w:pPr>
            <w:r>
              <w:rPr>
                <w:rFonts w:hint="eastAsia" w:ascii="仿宋" w:hAnsi="仿宋" w:eastAsia="仿宋" w:cs="仿宋"/>
                <w:spacing w:val="-8"/>
                <w:sz w:val="24"/>
                <w:szCs w:val="24"/>
              </w:rPr>
              <w:t>在经营活动中没有重大违法记录的书面声明（格式详见磋商文件“第七章 响应文件格式”附件1）</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pacing w:val="-8"/>
                <w:sz w:val="24"/>
                <w:szCs w:val="24"/>
              </w:rPr>
            </w:pPr>
            <w:r>
              <w:rPr>
                <w:rFonts w:hint="eastAsia" w:ascii="仿宋" w:hAnsi="仿宋" w:eastAsia="仿宋" w:cs="仿宋"/>
                <w:spacing w:val="-8"/>
                <w:sz w:val="24"/>
                <w:szCs w:val="24"/>
              </w:rPr>
              <w:t>采购诚信承诺书（格式详见磋商文件“第七章 响应文件格式”附件2）</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4</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pacing w:val="-8"/>
                <w:sz w:val="24"/>
                <w:szCs w:val="24"/>
              </w:rPr>
            </w:pPr>
            <w:r>
              <w:rPr>
                <w:rFonts w:hint="eastAsia" w:ascii="仿宋" w:hAnsi="仿宋" w:eastAsia="仿宋" w:cs="仿宋"/>
                <w:spacing w:val="-8"/>
                <w:sz w:val="24"/>
                <w:szCs w:val="24"/>
              </w:rPr>
              <w:t>经审计的财务状况报告或银行出具的有效期内的资信证明</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pacing w:val="-8"/>
                <w:sz w:val="24"/>
                <w:szCs w:val="24"/>
              </w:rPr>
            </w:pPr>
            <w:r>
              <w:rPr>
                <w:rFonts w:hint="eastAsia" w:ascii="仿宋" w:hAnsi="仿宋" w:eastAsia="仿宋" w:cs="仿宋"/>
                <w:spacing w:val="-8"/>
                <w:sz w:val="24"/>
                <w:szCs w:val="24"/>
              </w:rPr>
              <w:t>缴纳税收和社会保障资金的相关材料</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cs="仿宋"/>
                <w:spacing w:val="-8"/>
                <w:sz w:val="24"/>
                <w:szCs w:val="24"/>
              </w:rPr>
            </w:pPr>
            <w:r>
              <w:rPr>
                <w:rFonts w:hint="eastAsia" w:ascii="仿宋" w:hAnsi="仿宋" w:eastAsia="仿宋" w:cs="仿宋"/>
                <w:spacing w:val="-8"/>
                <w:sz w:val="24"/>
                <w:szCs w:val="24"/>
              </w:rPr>
              <w:t>通过“信用中国”网站（www.creditchina.gov.cn）查询，未被列入</w:t>
            </w:r>
            <w:r>
              <w:rPr>
                <w:rFonts w:hint="eastAsia" w:ascii="仿宋" w:hAnsi="仿宋" w:eastAsia="仿宋" w:cs="仿宋"/>
                <w:spacing w:val="-8"/>
                <w:sz w:val="24"/>
                <w:szCs w:val="24"/>
                <w:lang w:eastAsia="zh-CN"/>
              </w:rPr>
              <w:t>失信惩戒</w:t>
            </w:r>
            <w:r>
              <w:rPr>
                <w:rFonts w:hint="eastAsia" w:ascii="仿宋" w:hAnsi="仿宋" w:eastAsia="仿宋" w:cs="仿宋"/>
                <w:spacing w:val="-8"/>
                <w:sz w:val="24"/>
                <w:szCs w:val="24"/>
              </w:rPr>
              <w:t>、重大税收违法案件当事人、严重违法失信行为记录名单。</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7</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pacing w:val="-8"/>
                <w:sz w:val="24"/>
                <w:szCs w:val="24"/>
              </w:rPr>
            </w:pPr>
            <w:r>
              <w:rPr>
                <w:rFonts w:hint="eastAsia" w:ascii="仿宋" w:hAnsi="仿宋" w:eastAsia="仿宋" w:cs="仿宋"/>
                <w:spacing w:val="-8"/>
                <w:sz w:val="24"/>
                <w:szCs w:val="24"/>
              </w:rPr>
              <w:t>业绩证明材料</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6431"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pacing w:val="-8"/>
                <w:sz w:val="24"/>
                <w:szCs w:val="24"/>
              </w:rPr>
            </w:pPr>
            <w:r>
              <w:rPr>
                <w:rFonts w:hint="eastAsia" w:ascii="仿宋" w:hAnsi="仿宋" w:eastAsia="仿宋" w:cs="仿宋"/>
                <w:spacing w:val="-8"/>
                <w:sz w:val="24"/>
                <w:szCs w:val="24"/>
              </w:rPr>
              <w:t>评标办法中评分所需的其他相关证明材料</w:t>
            </w:r>
          </w:p>
        </w:tc>
        <w:tc>
          <w:tcPr>
            <w:tcW w:w="231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pacing w:val="-8"/>
                <w:sz w:val="24"/>
                <w:szCs w:val="24"/>
              </w:rPr>
            </w:pPr>
          </w:p>
        </w:tc>
      </w:tr>
    </w:tbl>
    <w:p>
      <w:pPr>
        <w:spacing w:line="360" w:lineRule="auto"/>
        <w:rPr>
          <w:rFonts w:ascii="仿宋" w:hAnsi="仿宋" w:eastAsia="仿宋" w:cs="仿宋"/>
          <w:spacing w:val="-8"/>
          <w:sz w:val="24"/>
          <w:szCs w:val="24"/>
        </w:rPr>
      </w:pPr>
      <w:r>
        <w:rPr>
          <w:rFonts w:hint="eastAsia" w:ascii="仿宋" w:hAnsi="仿宋" w:eastAsia="仿宋" w:cs="仿宋"/>
          <w:spacing w:val="-8"/>
          <w:sz w:val="24"/>
          <w:szCs w:val="24"/>
        </w:rPr>
        <w:t>备注：</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 xml:space="preserve">（1）开标时，供应商应当提交上述证明材料 </w:t>
      </w:r>
      <w:r>
        <w:rPr>
          <w:rFonts w:hint="eastAsia" w:ascii="仿宋" w:hAnsi="仿宋" w:eastAsia="仿宋" w:cs="仿宋"/>
          <w:spacing w:val="-8"/>
          <w:sz w:val="24"/>
          <w:szCs w:val="24"/>
          <w:u w:val="single"/>
        </w:rPr>
        <w:t>1-</w:t>
      </w:r>
      <w:r>
        <w:rPr>
          <w:rFonts w:hint="eastAsia" w:ascii="仿宋" w:hAnsi="仿宋" w:eastAsia="仿宋" w:cs="仿宋"/>
          <w:spacing w:val="-8"/>
          <w:sz w:val="24"/>
          <w:szCs w:val="24"/>
          <w:u w:val="single"/>
          <w:lang w:val="en-US" w:eastAsia="zh-CN"/>
        </w:rPr>
        <w:t>6</w:t>
      </w:r>
      <w:r>
        <w:rPr>
          <w:rFonts w:hint="eastAsia" w:ascii="仿宋" w:hAnsi="仿宋" w:eastAsia="仿宋" w:cs="仿宋"/>
          <w:spacing w:val="-8"/>
          <w:sz w:val="24"/>
          <w:szCs w:val="24"/>
        </w:rPr>
        <w:t>项，未提交或提交不全的视为资格性、符合性审查不合格；</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（2）要求提供的证明材料可以是复印件的，需加盖供应商公章。</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（3）缴纳税收的证明材料是指供应商税务登记证（或统一社会信用代码营业执照）和参加采购活动前一段时间内缴纳增值税、营业税和企业所得税的凭据。缴纳社会保障资金的证明材料是指参加</w:t>
      </w:r>
      <w:r>
        <w:rPr>
          <w:rFonts w:hint="eastAsia" w:ascii="仿宋" w:hAnsi="仿宋" w:eastAsia="仿宋" w:cs="仿宋"/>
          <w:spacing w:val="-8"/>
          <w:sz w:val="24"/>
          <w:szCs w:val="24"/>
          <w:lang w:eastAsia="zh-CN"/>
        </w:rPr>
        <w:t>采购</w:t>
      </w:r>
      <w:r>
        <w:rPr>
          <w:rFonts w:hint="eastAsia" w:ascii="仿宋" w:hAnsi="仿宋" w:eastAsia="仿宋" w:cs="仿宋"/>
          <w:spacing w:val="-8"/>
          <w:sz w:val="24"/>
          <w:szCs w:val="24"/>
        </w:rPr>
        <w:t>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360" w:lineRule="auto"/>
        <w:ind w:firstLine="451" w:firstLineChars="171"/>
        <w:rPr>
          <w:rFonts w:ascii="仿宋" w:hAnsi="仿宋" w:eastAsia="仿宋" w:cs="仿宋"/>
          <w:spacing w:val="-8"/>
        </w:rPr>
      </w:pPr>
      <w:bookmarkStart w:id="37" w:name="_Toc434614159"/>
      <w:r>
        <w:rPr>
          <w:rFonts w:hint="eastAsia" w:ascii="仿宋" w:hAnsi="仿宋" w:eastAsia="仿宋" w:cs="仿宋"/>
          <w:spacing w:val="-8"/>
        </w:rPr>
        <w:t>2.其他规定</w:t>
      </w:r>
      <w:bookmarkEnd w:id="37"/>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2.1供应商的资格证明材料应当真实、有效、完整，字迹、印章要清晰。</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2.2磋商文件中所要求的相关证明资料原件，应当在递交响应文件截止时间前与响应文件一并递交，逾期拒绝接收。</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2.3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2.4营业执照等原件无法提供的，可提供由发证机关出具的证明材料原件或公证处出具的公证书原件。</w:t>
      </w:r>
    </w:p>
    <w:p>
      <w:pPr>
        <w:spacing w:line="360" w:lineRule="auto"/>
        <w:rPr>
          <w:rFonts w:ascii="仿宋" w:hAnsi="仿宋" w:eastAsia="仿宋" w:cs="仿宋"/>
          <w:spacing w:val="-8"/>
          <w:sz w:val="24"/>
          <w:szCs w:val="24"/>
        </w:rPr>
      </w:pPr>
    </w:p>
    <w:p>
      <w:pPr>
        <w:widowControl/>
        <w:suppressAutoHyphens w:val="0"/>
        <w:jc w:val="left"/>
        <w:rPr>
          <w:rFonts w:ascii="仿宋" w:hAnsi="仿宋" w:eastAsia="仿宋" w:cs="仿宋"/>
          <w:sz w:val="44"/>
        </w:rPr>
      </w:pPr>
      <w:r>
        <w:rPr>
          <w:rFonts w:hint="eastAsia" w:ascii="仿宋" w:hAnsi="仿宋" w:eastAsia="仿宋" w:cs="仿宋"/>
          <w:b/>
        </w:rPr>
        <w:br w:type="page"/>
      </w:r>
    </w:p>
    <w:p>
      <w:pPr>
        <w:pStyle w:val="3"/>
        <w:spacing w:before="0" w:after="0" w:line="360" w:lineRule="auto"/>
        <w:jc w:val="center"/>
        <w:rPr>
          <w:rFonts w:ascii="仿宋" w:hAnsi="仿宋" w:eastAsia="仿宋" w:cs="仿宋"/>
          <w:b w:val="0"/>
          <w:sz w:val="24"/>
          <w:szCs w:val="24"/>
        </w:rPr>
      </w:pPr>
      <w:bookmarkStart w:id="38" w:name="_Toc2064"/>
      <w:bookmarkStart w:id="39" w:name="_Toc535048508"/>
      <w:r>
        <w:rPr>
          <w:rFonts w:hint="eastAsia" w:ascii="仿宋" w:hAnsi="仿宋" w:eastAsia="仿宋" w:cs="仿宋"/>
          <w:b w:val="0"/>
        </w:rPr>
        <w:t>第三章     合同条款</w:t>
      </w:r>
      <w:bookmarkEnd w:id="38"/>
      <w:bookmarkEnd w:id="39"/>
    </w:p>
    <w:p>
      <w:pPr>
        <w:tabs>
          <w:tab w:val="left" w:pos="5387"/>
        </w:tabs>
        <w:topLinePunct/>
        <w:spacing w:line="420" w:lineRule="exact"/>
        <w:jc w:val="center"/>
        <w:rPr>
          <w:rFonts w:ascii="仿宋" w:hAnsi="仿宋" w:eastAsia="仿宋" w:cs="仿宋"/>
          <w:b/>
          <w:bCs/>
          <w:sz w:val="44"/>
        </w:rPr>
      </w:pPr>
      <w:bookmarkStart w:id="40" w:name="_Toc535048509"/>
    </w:p>
    <w:p>
      <w:pPr>
        <w:widowControl/>
        <w:spacing w:line="360" w:lineRule="auto"/>
        <w:jc w:val="center"/>
        <w:rPr>
          <w:rFonts w:ascii="仿宋" w:hAnsi="仿宋" w:eastAsia="仿宋" w:cs="仿宋"/>
          <w:kern w:val="0"/>
          <w:szCs w:val="28"/>
          <w:u w:val="single"/>
        </w:rPr>
      </w:pPr>
      <w:r>
        <w:rPr>
          <w:rFonts w:hint="eastAsia" w:ascii="仿宋" w:hAnsi="仿宋" w:eastAsia="仿宋" w:cs="仿宋"/>
          <w:kern w:val="0"/>
          <w:szCs w:val="28"/>
        </w:rPr>
        <w:t>山东科技大学</w:t>
      </w:r>
      <w:r>
        <w:rPr>
          <w:rFonts w:hint="eastAsia" w:ascii="仿宋" w:hAnsi="仿宋" w:eastAsia="仿宋" w:cs="仿宋"/>
          <w:kern w:val="0"/>
          <w:szCs w:val="28"/>
          <w:u w:val="single"/>
        </w:rPr>
        <w:t xml:space="preserve">          </w:t>
      </w:r>
      <w:r>
        <w:rPr>
          <w:rFonts w:hint="eastAsia" w:ascii="仿宋" w:hAnsi="仿宋" w:eastAsia="仿宋" w:cs="仿宋"/>
          <w:kern w:val="0"/>
          <w:szCs w:val="28"/>
        </w:rPr>
        <w:t>工程合同</w:t>
      </w:r>
    </w:p>
    <w:p>
      <w:pPr>
        <w:widowControl/>
        <w:spacing w:line="360" w:lineRule="auto"/>
        <w:jc w:val="left"/>
        <w:rPr>
          <w:rFonts w:ascii="仿宋" w:hAnsi="仿宋" w:eastAsia="仿宋" w:cs="仿宋"/>
          <w:kern w:val="0"/>
          <w:sz w:val="24"/>
          <w:szCs w:val="24"/>
        </w:rPr>
      </w:pP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甲方：</w:t>
      </w:r>
      <w:r>
        <w:rPr>
          <w:rFonts w:hint="eastAsia" w:ascii="仿宋" w:hAnsi="仿宋" w:eastAsia="仿宋" w:cs="仿宋"/>
          <w:kern w:val="0"/>
          <w:sz w:val="24"/>
          <w:szCs w:val="24"/>
          <w:u w:val="single"/>
        </w:rPr>
        <w:t xml:space="preserve"> 山东科技大学  </w:t>
      </w:r>
      <w:r>
        <w:rPr>
          <w:rFonts w:hint="eastAsia" w:ascii="仿宋" w:hAnsi="仿宋" w:eastAsia="仿宋" w:cs="仿宋"/>
          <w:kern w:val="0"/>
          <w:sz w:val="24"/>
          <w:szCs w:val="24"/>
        </w:rPr>
        <w:t>（以下简称甲方）</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乙方：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（以下简称乙方）</w:t>
      </w:r>
    </w:p>
    <w:p>
      <w:pPr>
        <w:widowControl/>
        <w:spacing w:before="120" w:beforeLines="50" w:line="360" w:lineRule="auto"/>
        <w:ind w:firstLine="480" w:firstLineChars="200"/>
        <w:rPr>
          <w:rFonts w:ascii="仿宋" w:hAnsi="仿宋" w:eastAsia="仿宋" w:cs="仿宋"/>
          <w:kern w:val="0"/>
          <w:sz w:val="24"/>
          <w:szCs w:val="24"/>
          <w:u w:val="single"/>
        </w:rPr>
      </w:pPr>
      <w:r>
        <w:rPr>
          <w:rFonts w:hint="eastAsia" w:ascii="仿宋" w:hAnsi="仿宋" w:eastAsia="仿宋" w:cs="仿宋"/>
          <w:kern w:val="0"/>
          <w:sz w:val="24"/>
          <w:szCs w:val="24"/>
        </w:rPr>
        <w:t>依照《中华人民共和国合同法》、《中华人民共和国建筑法》及其他法律、法规，遵循平等、自愿、公平和诚实信用的原则，双方就</w:t>
      </w:r>
      <w:r>
        <w:rPr>
          <w:rFonts w:hint="eastAsia" w:ascii="仿宋" w:hAnsi="仿宋" w:eastAsia="仿宋" w:cs="仿宋"/>
          <w:kern w:val="0"/>
          <w:sz w:val="24"/>
          <w:szCs w:val="24"/>
          <w:u w:val="single"/>
        </w:rPr>
        <w:t>山东科技大学             工程</w:t>
      </w:r>
      <w:r>
        <w:rPr>
          <w:rFonts w:hint="eastAsia" w:ascii="仿宋" w:hAnsi="仿宋" w:eastAsia="仿宋" w:cs="仿宋"/>
          <w:kern w:val="0"/>
          <w:sz w:val="24"/>
          <w:szCs w:val="24"/>
        </w:rPr>
        <w:t>有关事项协商一致，签订本合同，共同遵守。</w:t>
      </w:r>
    </w:p>
    <w:p>
      <w:pPr>
        <w:numPr>
          <w:ilvl w:val="0"/>
          <w:numId w:val="2"/>
        </w:numPr>
        <w:tabs>
          <w:tab w:val="clear" w:pos="720"/>
        </w:tabs>
        <w:snapToGrid w:val="0"/>
        <w:spacing w:line="276" w:lineRule="auto"/>
        <w:ind w:left="0" w:firstLine="540"/>
        <w:rPr>
          <w:rFonts w:ascii="仿宋" w:hAnsi="仿宋" w:eastAsia="仿宋" w:cs="仿宋"/>
          <w:sz w:val="24"/>
          <w:szCs w:val="24"/>
        </w:rPr>
      </w:pPr>
      <w:r>
        <w:rPr>
          <w:rFonts w:hint="eastAsia" w:ascii="仿宋" w:hAnsi="仿宋" w:eastAsia="仿宋" w:cs="仿宋"/>
          <w:sz w:val="24"/>
          <w:szCs w:val="24"/>
        </w:rPr>
        <w:t xml:space="preserve">工程名称： </w:t>
      </w:r>
    </w:p>
    <w:p>
      <w:pPr>
        <w:numPr>
          <w:ilvl w:val="0"/>
          <w:numId w:val="2"/>
        </w:numPr>
        <w:tabs>
          <w:tab w:val="clear" w:pos="720"/>
        </w:tabs>
        <w:snapToGrid w:val="0"/>
        <w:spacing w:line="276" w:lineRule="auto"/>
        <w:ind w:left="0" w:firstLine="540"/>
        <w:rPr>
          <w:rFonts w:ascii="仿宋" w:hAnsi="仿宋" w:eastAsia="仿宋" w:cs="仿宋"/>
          <w:sz w:val="24"/>
          <w:szCs w:val="24"/>
        </w:rPr>
      </w:pPr>
      <w:r>
        <w:rPr>
          <w:rFonts w:hint="eastAsia" w:ascii="仿宋" w:hAnsi="仿宋" w:eastAsia="仿宋" w:cs="仿宋"/>
          <w:sz w:val="24"/>
          <w:szCs w:val="24"/>
        </w:rPr>
        <w:t>承包方式：包工包料。</w:t>
      </w:r>
    </w:p>
    <w:p>
      <w:pPr>
        <w:numPr>
          <w:ilvl w:val="0"/>
          <w:numId w:val="2"/>
        </w:numPr>
        <w:tabs>
          <w:tab w:val="clear" w:pos="720"/>
        </w:tabs>
        <w:snapToGrid w:val="0"/>
        <w:spacing w:line="276" w:lineRule="auto"/>
        <w:ind w:left="0" w:firstLine="540"/>
        <w:rPr>
          <w:rFonts w:ascii="仿宋" w:hAnsi="仿宋" w:eastAsia="仿宋" w:cs="仿宋"/>
          <w:sz w:val="24"/>
          <w:szCs w:val="24"/>
        </w:rPr>
      </w:pPr>
      <w:r>
        <w:rPr>
          <w:rFonts w:hint="eastAsia" w:ascii="仿宋" w:hAnsi="仿宋" w:eastAsia="仿宋" w:cs="仿宋"/>
          <w:sz w:val="24"/>
          <w:szCs w:val="24"/>
        </w:rPr>
        <w:t>工程内容及价格：</w:t>
      </w:r>
    </w:p>
    <w:tbl>
      <w:tblPr>
        <w:tblStyle w:val="2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561"/>
        <w:gridCol w:w="600"/>
        <w:gridCol w:w="660"/>
        <w:gridCol w:w="458"/>
        <w:gridCol w:w="865"/>
        <w:gridCol w:w="936"/>
        <w:gridCol w:w="936"/>
        <w:gridCol w:w="661"/>
        <w:gridCol w:w="661"/>
        <w:gridCol w:w="661"/>
        <w:gridCol w:w="620"/>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工程分</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项名称</w:t>
            </w:r>
          </w:p>
        </w:tc>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序号</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工程内容</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数量</w:t>
            </w:r>
          </w:p>
        </w:tc>
        <w:tc>
          <w:tcPr>
            <w:tcW w:w="4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单位</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综合</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单价(元)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小计</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分项合</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计（元）</w:t>
            </w:r>
          </w:p>
        </w:tc>
        <w:tc>
          <w:tcPr>
            <w:tcW w:w="26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工程主材情况</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主材名称</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品牌</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规格型号</w:t>
            </w: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产地</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ind w:left="105"/>
              <w:rPr>
                <w:rFonts w:ascii="仿宋" w:hAnsi="仿宋" w:eastAsia="仿宋" w:cs="仿宋"/>
                <w:sz w:val="24"/>
                <w:szCs w:val="24"/>
              </w:rPr>
            </w:pPr>
            <w:r>
              <w:rPr>
                <w:rFonts w:hint="eastAsia" w:ascii="仿宋" w:hAnsi="仿宋" w:eastAsia="仿宋" w:cs="仿宋"/>
                <w:sz w:val="24"/>
                <w:szCs w:val="24"/>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w:t>
            </w: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0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总计</w:t>
            </w: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bl>
    <w:p>
      <w:pPr>
        <w:spacing w:line="360" w:lineRule="auto"/>
        <w:ind w:firstLine="480"/>
        <w:rPr>
          <w:rFonts w:ascii="仿宋" w:hAnsi="仿宋" w:eastAsia="仿宋" w:cs="仿宋"/>
          <w:sz w:val="24"/>
          <w:szCs w:val="24"/>
        </w:rPr>
      </w:pPr>
      <w:r>
        <w:rPr>
          <w:rFonts w:hint="eastAsia" w:ascii="仿宋" w:hAnsi="仿宋" w:eastAsia="仿宋" w:cs="仿宋"/>
          <w:sz w:val="24"/>
          <w:szCs w:val="24"/>
        </w:rPr>
        <w:t>一、上表项目内容及单价中标人与立项监管部门不得随意协商变更，如有特殊情况立项监管部门要写明原因经部门领导签字，甲方组织有关部门论证定价后方可实施。</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二、暂列金根据实际发生数量据实结算。工程施工中如发生上表中未明确列明价格项目，从暂列金中列支，但内容及价格需经甲方书面同意后方可实施，但总价不得超出上表中暂列金总价。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三、上表其余单价为工程竣工验收合格综合结算价，包括材料费、人工费、管理费、税金等所有施工结算中发生的各种费用。不再计取其他任何费用。工程总价根据实际发生数量经审计后据实结算，但结算总价不得超出控制价(金额大写),在控制价内结算总价不得超出合同总价的10%。未经甲方事先书面同意，超出部分视为乙方免费赠送，不予结算。</w:t>
      </w:r>
    </w:p>
    <w:p>
      <w:pPr>
        <w:widowControl/>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kern w:val="0"/>
          <w:sz w:val="24"/>
          <w:szCs w:val="24"/>
        </w:rPr>
        <w:t>第四条   工期：</w:t>
      </w:r>
      <w:r>
        <w:rPr>
          <w:rFonts w:hint="eastAsia" w:ascii="仿宋" w:hAnsi="仿宋" w:eastAsia="仿宋" w:cs="仿宋"/>
          <w:kern w:val="0"/>
          <w:sz w:val="24"/>
          <w:szCs w:val="24"/>
        </w:rPr>
        <w:t>自合同签订日起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个工作日内完成。自通过交工验收之日起</w:t>
      </w:r>
      <w:r>
        <w:rPr>
          <w:rFonts w:hint="eastAsia" w:ascii="仿宋" w:hAnsi="仿宋" w:eastAsia="仿宋" w:cs="仿宋"/>
          <w:kern w:val="0"/>
          <w:sz w:val="24"/>
          <w:szCs w:val="24"/>
          <w:u w:val="single"/>
        </w:rPr>
        <w:t xml:space="preserve"> 壹 </w:t>
      </w:r>
      <w:r>
        <w:rPr>
          <w:rFonts w:hint="eastAsia" w:ascii="仿宋" w:hAnsi="仿宋" w:eastAsia="仿宋" w:cs="仿宋"/>
          <w:kern w:val="0"/>
          <w:sz w:val="24"/>
          <w:szCs w:val="24"/>
        </w:rPr>
        <w:t>年为工程质量缺陷责任期。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第五条  工程质量及验收标准和依据</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以项目实施方案、甲方或其代表以书面形式批准的变更通知或施工指导意见、国家颁发的相关施工技术、验收规范、质量检验标准及有关规定为依据进行验收，工程质量等级为</w:t>
      </w:r>
      <w:r>
        <w:rPr>
          <w:rFonts w:hint="eastAsia" w:ascii="仿宋" w:hAnsi="仿宋" w:eastAsia="仿宋" w:cs="仿宋"/>
          <w:kern w:val="0"/>
          <w:sz w:val="24"/>
          <w:szCs w:val="24"/>
          <w:u w:val="single"/>
        </w:rPr>
        <w:t xml:space="preserve"> 合格 </w:t>
      </w:r>
      <w:r>
        <w:rPr>
          <w:rFonts w:hint="eastAsia" w:ascii="仿宋" w:hAnsi="仿宋" w:eastAsia="仿宋" w:cs="仿宋"/>
          <w:kern w:val="0"/>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第六条  甲方主要义务</w:t>
      </w:r>
    </w:p>
    <w:p>
      <w:pPr>
        <w:widowControl/>
        <w:tabs>
          <w:tab w:val="left" w:pos="425"/>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一）提供本工程相关的供配电等能源系统相关资料；大楼能源系统的相关管理制度；建筑基本资料信息（含建筑面积、建筑内各用能部门面积、楼层信息、人员数量等信息）；单位及部门资料信息（含部门人数、使用的建筑面积等信息）以及各种用能设备统计表。 </w:t>
      </w:r>
    </w:p>
    <w:p>
      <w:pPr>
        <w:widowControl/>
        <w:tabs>
          <w:tab w:val="left" w:pos="425"/>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（二）协助乙方办理施工过程中所需的出入证，并与各相关单位进行协调。</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（三）及时协调施工时的停电工作。</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（四）检查和监督乙方的施工管理、施工质量、进度以及安全生产。</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（五）及时组织项目验收，按本合同第五条及时支付工程款。</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（六）提供网络通道以便乙方进行远程在线诊断服务。</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（七）配合软件数据关系配置。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第七条  乙方主要义务</w:t>
      </w:r>
    </w:p>
    <w:p>
      <w:pPr>
        <w:widowControl/>
        <w:spacing w:line="360" w:lineRule="auto"/>
        <w:ind w:firstLine="540" w:firstLineChars="225"/>
        <w:jc w:val="left"/>
        <w:rPr>
          <w:rFonts w:ascii="仿宋" w:hAnsi="仿宋" w:eastAsia="仿宋" w:cs="仿宋"/>
          <w:sz w:val="24"/>
          <w:szCs w:val="24"/>
        </w:rPr>
      </w:pPr>
      <w:r>
        <w:rPr>
          <w:rFonts w:hint="eastAsia" w:ascii="仿宋" w:hAnsi="仿宋" w:eastAsia="仿宋" w:cs="仿宋"/>
          <w:kern w:val="0"/>
          <w:sz w:val="24"/>
          <w:szCs w:val="24"/>
        </w:rPr>
        <w:t>（一）</w:t>
      </w:r>
      <w:r>
        <w:rPr>
          <w:rFonts w:hint="eastAsia" w:ascii="仿宋" w:hAnsi="仿宋" w:eastAsia="仿宋" w:cs="仿宋"/>
          <w:sz w:val="24"/>
          <w:szCs w:val="24"/>
        </w:rPr>
        <w:t>按项目实施方案和有关工程施工技术规范以及甲方代表或监理的要求，按时完成示范工程建设。</w:t>
      </w:r>
    </w:p>
    <w:p>
      <w:pPr>
        <w:widowControl/>
        <w:spacing w:line="360" w:lineRule="auto"/>
        <w:ind w:firstLine="475" w:firstLineChars="198"/>
        <w:jc w:val="left"/>
        <w:rPr>
          <w:rFonts w:ascii="仿宋" w:hAnsi="仿宋" w:eastAsia="仿宋" w:cs="仿宋"/>
          <w:sz w:val="24"/>
          <w:szCs w:val="24"/>
        </w:rPr>
      </w:pPr>
      <w:r>
        <w:rPr>
          <w:rFonts w:hint="eastAsia" w:ascii="仿宋" w:hAnsi="仿宋" w:eastAsia="仿宋" w:cs="仿宋"/>
          <w:sz w:val="24"/>
          <w:szCs w:val="24"/>
        </w:rPr>
        <w:t>（二）施工期间服从甲方代表的现场管理，并接受甲方的监督、检查和验收，采取切实可行的措施，确保按期完成甲方委托的施工任务，并保证达到甲方要求的工程质量等级。</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（三）应有完备的原材料及施工自检资料，报验资料及时报甲方审核。工程结束后按甲方要求提交竣工图纸及相关资料和决算（一式</w:t>
      </w:r>
      <w:r>
        <w:rPr>
          <w:rFonts w:hint="eastAsia" w:ascii="仿宋" w:hAnsi="仿宋" w:eastAsia="仿宋" w:cs="仿宋"/>
          <w:sz w:val="24"/>
          <w:szCs w:val="24"/>
          <w:u w:val="single"/>
        </w:rPr>
        <w:t>2</w:t>
      </w:r>
      <w:r>
        <w:rPr>
          <w:rFonts w:hint="eastAsia" w:ascii="仿宋" w:hAnsi="仿宋" w:eastAsia="仿宋" w:cs="仿宋"/>
          <w:sz w:val="24"/>
          <w:szCs w:val="24"/>
        </w:rPr>
        <w:t>份）及其相应的电子文档</w:t>
      </w:r>
      <w:r>
        <w:rPr>
          <w:rFonts w:hint="eastAsia" w:ascii="仿宋" w:hAnsi="仿宋" w:eastAsia="仿宋" w:cs="仿宋"/>
          <w:sz w:val="24"/>
          <w:szCs w:val="24"/>
          <w:u w:val="single"/>
        </w:rPr>
        <w:t xml:space="preserve"> 壹 </w:t>
      </w:r>
      <w:r>
        <w:rPr>
          <w:rFonts w:hint="eastAsia" w:ascii="仿宋" w:hAnsi="仿宋" w:eastAsia="仿宋" w:cs="仿宋"/>
          <w:sz w:val="24"/>
          <w:szCs w:val="24"/>
        </w:rPr>
        <w:t>份，并配合甲方进行示范工程验收。</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四）严格遵守工程建设安全生产的有关规定，严格按照安全标准施工，采取必要的安全防护措施并对施工人员进行安全生产教育和管理；健全组织制度，指定主要领导负责安全工作，确保作业人员和车辆、设备的安全。</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（五）交工验收前认真做好已完工程的保护工作，以及壹年工程质量缺陷期内工程缺陷的修复工作，所发生的费用由乙方承担。</w:t>
      </w:r>
    </w:p>
    <w:p>
      <w:pPr>
        <w:widowControl/>
        <w:spacing w:line="360" w:lineRule="auto"/>
        <w:ind w:left="2" w:firstLine="477" w:firstLineChars="199"/>
        <w:jc w:val="left"/>
        <w:rPr>
          <w:rFonts w:ascii="仿宋" w:hAnsi="仿宋" w:eastAsia="仿宋" w:cs="仿宋"/>
          <w:kern w:val="0"/>
          <w:sz w:val="24"/>
          <w:szCs w:val="24"/>
        </w:rPr>
      </w:pPr>
      <w:r>
        <w:rPr>
          <w:rFonts w:hint="eastAsia" w:ascii="仿宋" w:hAnsi="仿宋" w:eastAsia="仿宋" w:cs="仿宋"/>
          <w:kern w:val="0"/>
          <w:sz w:val="24"/>
          <w:szCs w:val="24"/>
        </w:rPr>
        <w:t>（六）项目竣工15日内组织验收。</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kern w:val="0"/>
          <w:sz w:val="24"/>
          <w:szCs w:val="24"/>
        </w:rPr>
        <w:t>（七）验收合格后在乙方提交合格决算资料30日内完成审计工作。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第八条  合同金额及付款方式</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（一）本合同总价计人民币（大写）</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元（</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元）。</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rPr>
        <w:t>（二）工程量发生增减时，按实际发生增减</w:t>
      </w:r>
      <w:r>
        <w:rPr>
          <w:rFonts w:hint="eastAsia" w:ascii="仿宋" w:hAnsi="仿宋" w:eastAsia="仿宋" w:cs="仿宋"/>
          <w:sz w:val="24"/>
          <w:szCs w:val="24"/>
        </w:rPr>
        <w:t>。</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（三）付款方式： </w:t>
      </w:r>
    </w:p>
    <w:p>
      <w:pPr>
        <w:widowControl/>
        <w:spacing w:line="360" w:lineRule="auto"/>
        <w:ind w:left="1358" w:leftChars="228" w:hanging="720" w:hangingChars="300"/>
        <w:jc w:val="left"/>
        <w:rPr>
          <w:rFonts w:ascii="仿宋" w:hAnsi="仿宋" w:eastAsia="仿宋" w:cs="仿宋"/>
          <w:sz w:val="24"/>
          <w:szCs w:val="24"/>
        </w:rPr>
      </w:pPr>
      <w:r>
        <w:rPr>
          <w:rFonts w:hint="eastAsia" w:ascii="仿宋" w:hAnsi="仿宋" w:eastAsia="仿宋" w:cs="仿宋"/>
          <w:sz w:val="24"/>
          <w:szCs w:val="24"/>
        </w:rPr>
        <w:t>第九条  工程保修期</w:t>
      </w:r>
    </w:p>
    <w:p>
      <w:pPr>
        <w:spacing w:line="360" w:lineRule="auto"/>
        <w:rPr>
          <w:rFonts w:ascii="仿宋" w:hAnsi="仿宋" w:eastAsia="仿宋" w:cs="仿宋"/>
          <w:sz w:val="24"/>
          <w:szCs w:val="24"/>
        </w:rPr>
      </w:pPr>
      <w:r>
        <w:rPr>
          <w:rFonts w:hint="eastAsia" w:ascii="仿宋" w:hAnsi="仿宋" w:eastAsia="仿宋" w:cs="仿宋"/>
          <w:sz w:val="24"/>
          <w:szCs w:val="24"/>
        </w:rPr>
        <w:t xml:space="preserve">     第十条  违约责任</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（一）因甲方原因导致工程延误，每逾期一天，按工程未完工程量造价的</w:t>
      </w:r>
      <w:r>
        <w:rPr>
          <w:rFonts w:hint="eastAsia" w:ascii="仿宋" w:hAnsi="仿宋" w:eastAsia="仿宋" w:cs="仿宋"/>
          <w:kern w:val="0"/>
          <w:sz w:val="24"/>
          <w:szCs w:val="24"/>
          <w:u w:val="single"/>
        </w:rPr>
        <w:t xml:space="preserve"> 1 </w:t>
      </w:r>
      <w:r>
        <w:rPr>
          <w:rFonts w:hint="eastAsia" w:ascii="仿宋" w:hAnsi="仿宋" w:eastAsia="仿宋" w:cs="仿宋"/>
          <w:kern w:val="0"/>
          <w:sz w:val="24"/>
          <w:szCs w:val="24"/>
        </w:rPr>
        <w:t>‰计算违约金，违约金最多不超过工程造价的1%，或工期顺延。</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（二）乙方未按合同规定的时间交工，每逾期一天，按工程未完工程量造价的</w:t>
      </w:r>
      <w:r>
        <w:rPr>
          <w:rFonts w:hint="eastAsia" w:ascii="仿宋" w:hAnsi="仿宋" w:eastAsia="仿宋" w:cs="仿宋"/>
          <w:kern w:val="0"/>
          <w:sz w:val="24"/>
          <w:szCs w:val="24"/>
          <w:u w:val="single"/>
        </w:rPr>
        <w:t xml:space="preserve"> 1 </w:t>
      </w:r>
      <w:r>
        <w:rPr>
          <w:rFonts w:hint="eastAsia" w:ascii="仿宋" w:hAnsi="仿宋" w:eastAsia="仿宋" w:cs="仿宋"/>
          <w:kern w:val="0"/>
          <w:sz w:val="24"/>
          <w:szCs w:val="24"/>
        </w:rPr>
        <w:t>‰计算违约金，违约金最多不超过工程造价的1%。</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xml:space="preserve">（三）因乙方原因致使工程施工质量不符合国家有关规范标准或不符合双方约定标准，乙方负责返工，费用自理。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第十一条   不可抗力</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（一）当事人一方因不可抗力不能履行合同的，应当及时通知对方，并应当积极采取措施以减轻或消除可能给对方造成的损失，并应当在事件结束后</w:t>
      </w:r>
      <w:r>
        <w:rPr>
          <w:rFonts w:hint="eastAsia" w:ascii="仿宋" w:hAnsi="仿宋" w:eastAsia="仿宋" w:cs="仿宋"/>
          <w:kern w:val="0"/>
          <w:sz w:val="24"/>
          <w:szCs w:val="24"/>
          <w:u w:val="single"/>
        </w:rPr>
        <w:t xml:space="preserve"> 20 </w:t>
      </w:r>
      <w:r>
        <w:rPr>
          <w:rFonts w:hint="eastAsia" w:ascii="仿宋" w:hAnsi="仿宋" w:eastAsia="仿宋" w:cs="仿宋"/>
          <w:kern w:val="0"/>
          <w:sz w:val="24"/>
          <w:szCs w:val="24"/>
        </w:rPr>
        <w:t>天内提供有力证明。</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（二）因不可抗力不能履行合同的，根据不可抗力的影响，部分或者全部（由双方协商确定）免除责任，但法律另有规定的除外。当事人迟延履行后发生不可抗力的，不能免除责任。</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（三）因不可抗力使合同不能如期履行时，由双方协商确定是否延期履行或终止本合同。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第十二条 合同组成部分</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1、磋商文件；2、响应文件；3、与此项目相关的其他书面资料。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第十三条  争议的解决</w:t>
      </w:r>
    </w:p>
    <w:p>
      <w:pPr>
        <w:pStyle w:val="9"/>
        <w:spacing w:before="50" w:line="300" w:lineRule="auto"/>
        <w:ind w:firstLine="720" w:firstLineChars="300"/>
        <w:rPr>
          <w:rFonts w:ascii="仿宋" w:hAnsi="仿宋" w:eastAsia="仿宋" w:cs="仿宋"/>
          <w:sz w:val="24"/>
        </w:rPr>
      </w:pPr>
      <w:r>
        <w:rPr>
          <w:rFonts w:hint="eastAsia" w:ascii="仿宋" w:hAnsi="仿宋" w:eastAsia="仿宋" w:cs="仿宋"/>
          <w:sz w:val="24"/>
        </w:rPr>
        <w:t>双方对本合同产生争议的，由双方本着互利互惠的原则友好协商解决，协商解决不成的，可以向青岛市仲裁委员会申请仲裁；仲裁未果时，再向人民法院提起诉讼。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第十四条  合同生效及其它</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（一）本合同经双方法人代表或授权人签字并加盖公章后生效，至全部工程完工后经交工验收合格以及缺陷责任期满后失效。</w:t>
      </w:r>
    </w:p>
    <w:p>
      <w:pPr>
        <w:widowControl/>
        <w:spacing w:line="360" w:lineRule="auto"/>
        <w:ind w:firstLine="540" w:firstLineChars="225"/>
        <w:jc w:val="left"/>
        <w:rPr>
          <w:rFonts w:ascii="仿宋" w:hAnsi="仿宋" w:eastAsia="仿宋" w:cs="仿宋"/>
          <w:kern w:val="0"/>
          <w:sz w:val="24"/>
          <w:szCs w:val="24"/>
        </w:rPr>
      </w:pPr>
      <w:r>
        <w:rPr>
          <w:rFonts w:hint="eastAsia" w:ascii="仿宋" w:hAnsi="仿宋" w:eastAsia="仿宋" w:cs="仿宋"/>
          <w:kern w:val="0"/>
          <w:sz w:val="24"/>
          <w:szCs w:val="24"/>
        </w:rPr>
        <w:t>（二）本合同一式</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份，甲方执</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份，乙方执</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份。其他未尽事宜，双方友好协商解决。</w:t>
      </w:r>
    </w:p>
    <w:p>
      <w:pPr>
        <w:widowControl/>
        <w:spacing w:line="360" w:lineRule="auto"/>
        <w:ind w:firstLine="540" w:firstLineChars="225"/>
        <w:jc w:val="left"/>
        <w:rPr>
          <w:rFonts w:ascii="仿宋" w:hAnsi="仿宋" w:eastAsia="仿宋" w:cs="仿宋"/>
          <w:kern w:val="0"/>
          <w:sz w:val="24"/>
          <w:szCs w:val="24"/>
        </w:rPr>
      </w:pPr>
      <w:r>
        <w:rPr>
          <w:rFonts w:hint="eastAsia" w:ascii="仿宋" w:hAnsi="仿宋" w:eastAsia="仿宋" w:cs="仿宋"/>
          <w:kern w:val="0"/>
          <w:sz w:val="24"/>
          <w:szCs w:val="24"/>
        </w:rPr>
        <w:t>（三）乙方开户银行：</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；账号：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widowControl/>
        <w:spacing w:line="360" w:lineRule="auto"/>
        <w:ind w:firstLine="1260" w:firstLineChars="525"/>
        <w:jc w:val="left"/>
        <w:rPr>
          <w:rFonts w:ascii="仿宋" w:hAnsi="仿宋" w:eastAsia="仿宋" w:cs="仿宋"/>
          <w:kern w:val="0"/>
          <w:sz w:val="24"/>
          <w:szCs w:val="24"/>
        </w:rPr>
      </w:pPr>
      <w:r>
        <w:rPr>
          <w:rFonts w:hint="eastAsia" w:ascii="仿宋" w:hAnsi="仿宋" w:eastAsia="仿宋" w:cs="仿宋"/>
          <w:kern w:val="0"/>
          <w:sz w:val="24"/>
          <w:szCs w:val="24"/>
        </w:rPr>
        <w:t>附件：响应报价</w:t>
      </w:r>
    </w:p>
    <w:p>
      <w:pPr>
        <w:widowControl/>
        <w:spacing w:line="360" w:lineRule="auto"/>
        <w:ind w:left="720" w:hanging="720" w:hangingChars="300"/>
        <w:jc w:val="left"/>
        <w:rPr>
          <w:rFonts w:ascii="仿宋" w:hAnsi="仿宋" w:eastAsia="仿宋" w:cs="仿宋"/>
          <w:kern w:val="0"/>
          <w:sz w:val="24"/>
          <w:szCs w:val="24"/>
        </w:rPr>
      </w:pPr>
    </w:p>
    <w:p>
      <w:pPr>
        <w:widowControl/>
        <w:spacing w:line="360" w:lineRule="auto"/>
        <w:ind w:left="720" w:hanging="720" w:hangingChars="300"/>
        <w:jc w:val="left"/>
        <w:rPr>
          <w:rFonts w:ascii="仿宋" w:hAnsi="仿宋" w:eastAsia="仿宋" w:cs="仿宋"/>
          <w:kern w:val="0"/>
          <w:sz w:val="24"/>
          <w:szCs w:val="24"/>
        </w:rPr>
      </w:pPr>
    </w:p>
    <w:p>
      <w:pPr>
        <w:widowControl/>
        <w:spacing w:line="360" w:lineRule="auto"/>
        <w:ind w:left="720" w:hanging="720" w:hangingChars="300"/>
        <w:jc w:val="left"/>
        <w:rPr>
          <w:rFonts w:ascii="仿宋" w:hAnsi="仿宋" w:eastAsia="仿宋" w:cs="仿宋"/>
          <w:kern w:val="0"/>
          <w:sz w:val="24"/>
          <w:szCs w:val="24"/>
        </w:rPr>
      </w:pPr>
      <w:r>
        <w:rPr>
          <w:rFonts w:hint="eastAsia" w:ascii="仿宋" w:hAnsi="仿宋" w:eastAsia="仿宋" w:cs="仿宋"/>
          <w:kern w:val="0"/>
          <w:sz w:val="24"/>
          <w:szCs w:val="24"/>
        </w:rPr>
        <w:t xml:space="preserve">   甲方：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（签章）</w:t>
      </w: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法定代表人或授权人（签字）：</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w:t>
      </w:r>
    </w:p>
    <w:p>
      <w:pPr>
        <w:widowControl/>
        <w:spacing w:line="360" w:lineRule="auto"/>
        <w:rPr>
          <w:rFonts w:ascii="仿宋" w:hAnsi="仿宋" w:eastAsia="仿宋" w:cs="仿宋"/>
          <w:kern w:val="0"/>
          <w:sz w:val="24"/>
          <w:szCs w:val="24"/>
          <w:u w:val="single"/>
        </w:rPr>
      </w:pPr>
      <w:r>
        <w:rPr>
          <w:rFonts w:hint="eastAsia" w:ascii="仿宋" w:hAnsi="仿宋" w:eastAsia="仿宋" w:cs="仿宋"/>
          <w:kern w:val="0"/>
          <w:sz w:val="24"/>
          <w:szCs w:val="24"/>
        </w:rPr>
        <w:t xml:space="preserve">   日       期：</w:t>
      </w:r>
      <w:r>
        <w:rPr>
          <w:rFonts w:hint="eastAsia" w:ascii="仿宋" w:hAnsi="仿宋" w:eastAsia="仿宋" w:cs="仿宋"/>
          <w:kern w:val="0"/>
          <w:sz w:val="24"/>
          <w:szCs w:val="24"/>
          <w:u w:val="single"/>
        </w:rPr>
        <w:t xml:space="preserve">                        </w:t>
      </w:r>
    </w:p>
    <w:p>
      <w:pPr>
        <w:widowControl/>
        <w:spacing w:line="360" w:lineRule="auto"/>
        <w:rPr>
          <w:rFonts w:ascii="仿宋" w:hAnsi="仿宋" w:eastAsia="仿宋" w:cs="仿宋"/>
          <w:kern w:val="0"/>
          <w:sz w:val="24"/>
          <w:szCs w:val="24"/>
          <w:u w:val="single"/>
        </w:rPr>
      </w:pPr>
    </w:p>
    <w:p>
      <w:pPr>
        <w:widowControl/>
        <w:spacing w:line="360" w:lineRule="auto"/>
        <w:rPr>
          <w:rFonts w:ascii="仿宋" w:hAnsi="仿宋" w:eastAsia="仿宋" w:cs="仿宋"/>
          <w:kern w:val="0"/>
          <w:sz w:val="24"/>
          <w:szCs w:val="24"/>
          <w:u w:val="single"/>
        </w:rPr>
      </w:pP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乙方：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（签章）</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法定代表人或授权人（签字）：</w:t>
      </w:r>
      <w:r>
        <w:rPr>
          <w:rFonts w:hint="eastAsia" w:ascii="仿宋" w:hAnsi="仿宋" w:eastAsia="仿宋" w:cs="仿宋"/>
          <w:kern w:val="0"/>
          <w:sz w:val="24"/>
          <w:szCs w:val="24"/>
          <w:u w:val="single"/>
        </w:rPr>
        <w:t xml:space="preserve">             </w:t>
      </w:r>
    </w:p>
    <w:p>
      <w:pPr>
        <w:widowControl/>
        <w:spacing w:line="360" w:lineRule="auto"/>
        <w:jc w:val="left"/>
        <w:rPr>
          <w:rFonts w:ascii="仿宋" w:hAnsi="仿宋" w:eastAsia="仿宋" w:cs="仿宋"/>
          <w:kern w:val="0"/>
          <w:sz w:val="24"/>
          <w:szCs w:val="24"/>
          <w:u w:val="single"/>
        </w:rPr>
      </w:pPr>
      <w:r>
        <w:rPr>
          <w:rFonts w:hint="eastAsia" w:ascii="仿宋" w:hAnsi="仿宋" w:eastAsia="仿宋" w:cs="仿宋"/>
          <w:kern w:val="0"/>
          <w:sz w:val="24"/>
          <w:szCs w:val="24"/>
        </w:rPr>
        <w:t xml:space="preserve">   日       期：</w:t>
      </w:r>
      <w:r>
        <w:rPr>
          <w:rFonts w:hint="eastAsia" w:ascii="仿宋" w:hAnsi="仿宋" w:eastAsia="仿宋" w:cs="仿宋"/>
          <w:kern w:val="0"/>
          <w:sz w:val="24"/>
          <w:szCs w:val="24"/>
          <w:u w:val="single"/>
        </w:rPr>
        <w:t xml:space="preserve">                       </w:t>
      </w:r>
    </w:p>
    <w:p>
      <w:pPr>
        <w:tabs>
          <w:tab w:val="left" w:pos="5387"/>
        </w:tabs>
        <w:topLinePunct/>
        <w:spacing w:line="420" w:lineRule="exact"/>
        <w:jc w:val="center"/>
        <w:rPr>
          <w:rFonts w:ascii="仿宋" w:hAnsi="仿宋" w:eastAsia="仿宋" w:cs="仿宋"/>
          <w:b/>
          <w:bCs/>
          <w:sz w:val="44"/>
        </w:rPr>
      </w:pPr>
    </w:p>
    <w:p>
      <w:pPr>
        <w:rPr>
          <w:rFonts w:ascii="仿宋" w:hAnsi="仿宋" w:eastAsia="仿宋" w:cs="仿宋"/>
          <w:b/>
          <w:bCs/>
          <w:sz w:val="44"/>
        </w:rPr>
      </w:pPr>
      <w:r>
        <w:rPr>
          <w:rFonts w:hint="eastAsia" w:ascii="仿宋" w:hAnsi="仿宋" w:eastAsia="仿宋" w:cs="仿宋"/>
          <w:b/>
          <w:bCs/>
          <w:sz w:val="44"/>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lang w:val="en-US" w:eastAsia="zh-CN"/>
        </w:rPr>
      </w:pPr>
      <w:bookmarkStart w:id="41" w:name="_Toc14418"/>
      <w:r>
        <w:rPr>
          <w:rFonts w:hint="eastAsia"/>
          <w:lang w:val="en-US" w:eastAsia="zh-CN"/>
        </w:rPr>
        <w:t>第四章   项目说明</w:t>
      </w:r>
      <w:bookmarkEnd w:id="40"/>
      <w:bookmarkEnd w:id="41"/>
    </w:p>
    <w:p>
      <w:pPr>
        <w:pStyle w:val="41"/>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480" w:firstLineChars="200"/>
        <w:textAlignment w:val="auto"/>
        <w:rPr>
          <w:rFonts w:hint="eastAsia" w:ascii="仿宋" w:hAnsi="仿宋" w:eastAsia="仿宋" w:cs="仿宋"/>
          <w:sz w:val="24"/>
          <w:szCs w:val="24"/>
        </w:rPr>
      </w:pPr>
      <w:bookmarkStart w:id="42" w:name="_Toc535048517"/>
      <w:r>
        <w:rPr>
          <w:rFonts w:hint="eastAsia" w:ascii="仿宋" w:hAnsi="仿宋" w:eastAsia="仿宋" w:cs="仿宋"/>
          <w:sz w:val="24"/>
          <w:szCs w:val="24"/>
          <w:lang w:eastAsia="zh-CN"/>
        </w:rPr>
        <w:t>一、</w:t>
      </w:r>
      <w:r>
        <w:rPr>
          <w:rFonts w:hint="eastAsia" w:ascii="仿宋" w:hAnsi="仿宋" w:eastAsia="仿宋" w:cs="仿宋"/>
          <w:sz w:val="24"/>
          <w:szCs w:val="24"/>
        </w:rPr>
        <w:t>工程概况</w:t>
      </w:r>
    </w:p>
    <w:p>
      <w:pPr>
        <w:pStyle w:val="41"/>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项目名称</w:t>
      </w:r>
      <w:r>
        <w:rPr>
          <w:rFonts w:hint="eastAsia" w:ascii="仿宋" w:hAnsi="仿宋" w:eastAsia="仿宋" w:cs="仿宋"/>
          <w:sz w:val="24"/>
          <w:szCs w:val="24"/>
          <w:lang w:val="en-US" w:eastAsia="zh-CN"/>
        </w:rPr>
        <w:t xml:space="preserve">  </w:t>
      </w:r>
    </w:p>
    <w:p>
      <w:pPr>
        <w:pStyle w:val="41"/>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山东科技大学餐厅风幕机安装</w:t>
      </w:r>
    </w:p>
    <w:p>
      <w:pPr>
        <w:pStyle w:val="41"/>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项目地点</w:t>
      </w:r>
    </w:p>
    <w:p>
      <w:pPr>
        <w:pStyle w:val="41"/>
        <w:keepNext w:val="0"/>
        <w:keepLines w:val="0"/>
        <w:pageBreakBefore w:val="0"/>
        <w:widowControl w:val="0"/>
        <w:kinsoku/>
        <w:wordWrap/>
        <w:overflowPunct/>
        <w:topLinePunct w:val="0"/>
        <w:autoSpaceDE/>
        <w:autoSpaceDN/>
        <w:bidi w:val="0"/>
        <w:adjustRightInd/>
        <w:snapToGrid w:val="0"/>
        <w:spacing w:line="440" w:lineRule="exact"/>
        <w:ind w:firstLine="56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山东科技大学餐厅</w:t>
      </w:r>
    </w:p>
    <w:p>
      <w:pPr>
        <w:pStyle w:val="41"/>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项目主要工程内容</w:t>
      </w:r>
    </w:p>
    <w:p>
      <w:pPr>
        <w:pStyle w:val="41"/>
        <w:keepNext w:val="0"/>
        <w:keepLines w:val="0"/>
        <w:pageBreakBefore w:val="0"/>
        <w:widowControl w:val="0"/>
        <w:kinsoku/>
        <w:wordWrap/>
        <w:overflowPunct/>
        <w:topLinePunct w:val="0"/>
        <w:autoSpaceDE/>
        <w:autoSpaceDN/>
        <w:bidi w:val="0"/>
        <w:adjustRightInd/>
        <w:snapToGrid w:val="0"/>
        <w:spacing w:line="440" w:lineRule="exact"/>
        <w:ind w:left="0" w:leftChars="0" w:firstLine="720" w:firstLineChars="3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在学者、学苑、学海三个餐厅门口处安装风幕机，铺设线路。</w:t>
      </w:r>
    </w:p>
    <w:p>
      <w:pPr>
        <w:pStyle w:val="41"/>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二、</w:t>
      </w:r>
      <w:r>
        <w:rPr>
          <w:rFonts w:hint="eastAsia" w:ascii="仿宋" w:hAnsi="仿宋" w:eastAsia="仿宋" w:cs="仿宋"/>
          <w:sz w:val="24"/>
          <w:szCs w:val="24"/>
        </w:rPr>
        <w:t>工程技术要求</w:t>
      </w:r>
    </w:p>
    <w:p>
      <w:pPr>
        <w:pStyle w:val="41"/>
        <w:keepNext w:val="0"/>
        <w:keepLines w:val="0"/>
        <w:pageBreakBefore w:val="0"/>
        <w:widowControl w:val="0"/>
        <w:kinsoku/>
        <w:wordWrap/>
        <w:overflowPunct/>
        <w:topLinePunct w:val="0"/>
        <w:autoSpaceDE/>
        <w:autoSpaceDN/>
        <w:bidi w:val="0"/>
        <w:adjustRightInd/>
        <w:snapToGrid w:val="0"/>
        <w:spacing w:line="440" w:lineRule="exact"/>
        <w:ind w:left="0" w:leftChars="0" w:firstLine="240" w:firstLineChars="1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风幕机技术要求如下表：</w:t>
      </w:r>
    </w:p>
    <w:tbl>
      <w:tblPr>
        <w:tblStyle w:val="20"/>
        <w:tblW w:w="10025" w:type="dxa"/>
        <w:tblInd w:w="-642" w:type="dxa"/>
        <w:shd w:val="clear" w:color="auto" w:fill="auto"/>
        <w:tblLayout w:type="fixed"/>
        <w:tblCellMar>
          <w:top w:w="0" w:type="dxa"/>
          <w:left w:w="0" w:type="dxa"/>
          <w:bottom w:w="0" w:type="dxa"/>
          <w:right w:w="0" w:type="dxa"/>
        </w:tblCellMar>
      </w:tblPr>
      <w:tblGrid>
        <w:gridCol w:w="638"/>
        <w:gridCol w:w="1425"/>
        <w:gridCol w:w="1012"/>
        <w:gridCol w:w="1075"/>
        <w:gridCol w:w="1501"/>
        <w:gridCol w:w="909"/>
        <w:gridCol w:w="1025"/>
        <w:gridCol w:w="1015"/>
        <w:gridCol w:w="1425"/>
      </w:tblGrid>
      <w:tr>
        <w:tblPrEx>
          <w:shd w:val="clear" w:color="auto" w:fill="auto"/>
          <w:tblCellMar>
            <w:top w:w="0" w:type="dxa"/>
            <w:left w:w="0" w:type="dxa"/>
            <w:bottom w:w="0" w:type="dxa"/>
            <w:right w:w="0" w:type="dxa"/>
          </w:tblCellMar>
        </w:tblPrEx>
        <w:trPr>
          <w:trHeight w:val="5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餐厅</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楼层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机身长度（mm）</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风速m/s</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风量m³/h</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功率W</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安装高度m</w:t>
            </w:r>
          </w:p>
        </w:tc>
      </w:tr>
      <w:tr>
        <w:tblPrEx>
          <w:tblCellMar>
            <w:top w:w="0" w:type="dxa"/>
            <w:left w:w="0" w:type="dxa"/>
            <w:bottom w:w="0" w:type="dxa"/>
            <w:right w:w="0" w:type="dxa"/>
          </w:tblCellMar>
        </w:tblPrEx>
        <w:trPr>
          <w:trHeight w:val="520"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学苑餐厅风幕机安装</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≤350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学者餐厅风幕机安装</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≤350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学海餐厅风幕机安装</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≤350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≤350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52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rPr>
                <w:rFonts w:hint="eastAsia" w:ascii="仿宋" w:hAnsi="仿宋" w:eastAsia="仿宋" w:cs="仿宋"/>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三层</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Style w:val="54"/>
                <w:rFonts w:hint="eastAsia" w:ascii="仿宋" w:hAnsi="仿宋" w:eastAsia="仿宋" w:cs="仿宋"/>
                <w:sz w:val="24"/>
                <w:szCs w:val="24"/>
                <w:lang w:val="en-US" w:eastAsia="zh-CN" w:bidi="ar"/>
              </w:rPr>
              <w:t>≤350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bl>
    <w:p>
      <w:pPr>
        <w:pStyle w:val="52"/>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工程量清单及报价表：</w:t>
      </w:r>
    </w:p>
    <w:p>
      <w:pPr>
        <w:pStyle w:val="41"/>
        <w:keepNext w:val="0"/>
        <w:keepLines w:val="0"/>
        <w:pageBreakBefore w:val="0"/>
        <w:kinsoku/>
        <w:wordWrap/>
        <w:overflowPunct/>
        <w:topLinePunct w:val="0"/>
        <w:autoSpaceDE/>
        <w:autoSpaceDN/>
        <w:bidi w:val="0"/>
        <w:adjustRightInd/>
        <w:snapToGrid w:val="0"/>
        <w:spacing w:line="440" w:lineRule="exact"/>
        <w:ind w:left="42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工程量清单及报价表</w:t>
      </w:r>
    </w:p>
    <w:tbl>
      <w:tblPr>
        <w:tblStyle w:val="20"/>
        <w:tblW w:w="0" w:type="auto"/>
        <w:tblInd w:w="0" w:type="dxa"/>
        <w:shd w:val="clear" w:color="auto" w:fill="auto"/>
        <w:tblLayout w:type="fixed"/>
        <w:tblCellMar>
          <w:top w:w="0" w:type="dxa"/>
          <w:left w:w="0" w:type="dxa"/>
          <w:bottom w:w="0" w:type="dxa"/>
          <w:right w:w="0" w:type="dxa"/>
        </w:tblCellMar>
      </w:tblPr>
      <w:tblGrid>
        <w:gridCol w:w="437"/>
        <w:gridCol w:w="742"/>
        <w:gridCol w:w="539"/>
        <w:gridCol w:w="437"/>
        <w:gridCol w:w="437"/>
        <w:gridCol w:w="793"/>
        <w:gridCol w:w="437"/>
        <w:gridCol w:w="590"/>
        <w:gridCol w:w="961"/>
        <w:gridCol w:w="814"/>
        <w:gridCol w:w="437"/>
        <w:gridCol w:w="437"/>
        <w:gridCol w:w="1048"/>
        <w:gridCol w:w="1048"/>
      </w:tblGrid>
      <w:tr>
        <w:tblPrEx>
          <w:shd w:val="clear" w:color="auto" w:fill="auto"/>
          <w:tblCellMar>
            <w:top w:w="0" w:type="dxa"/>
            <w:left w:w="0" w:type="dxa"/>
            <w:bottom w:w="0" w:type="dxa"/>
            <w:right w:w="0" w:type="dxa"/>
          </w:tblCellMar>
        </w:tblPrEx>
        <w:trPr>
          <w:trHeight w:val="285"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餐厅</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楼层</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机身长度mm</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风速m/s</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风量</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功率W</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安装高度m</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推荐品牌</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单价（元）</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合计（元）</w:t>
            </w: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m³/h</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5"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学苑餐厅风幕机安装</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推荐松下、绿岛风、西奥多品牌或同档次及以上</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二层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5"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学者餐厅风幕机安装</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二层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学海餐厅风幕机安装</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二层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侧门</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45"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2.5mm</w:t>
            </w:r>
            <w:r>
              <w:rPr>
                <w:rFonts w:hint="eastAsia" w:ascii="仿宋" w:hAnsi="仿宋" w:eastAsia="仿宋" w:cs="仿宋"/>
                <w:i w:val="0"/>
                <w:color w:val="000000"/>
                <w:kern w:val="0"/>
                <w:sz w:val="24"/>
                <w:szCs w:val="24"/>
                <w:u w:val="none"/>
                <w:vertAlign w:val="superscript"/>
                <w:lang w:val="en-US" w:eastAsia="zh-CN" w:bidi="ar"/>
              </w:rPr>
              <w:t>2</w:t>
            </w:r>
            <w:r>
              <w:rPr>
                <w:rFonts w:hint="eastAsia" w:ascii="仿宋" w:hAnsi="仿宋" w:eastAsia="仿宋" w:cs="仿宋"/>
                <w:i w:val="0"/>
                <w:color w:val="000000"/>
                <w:kern w:val="0"/>
                <w:sz w:val="24"/>
                <w:szCs w:val="24"/>
                <w:u w:val="none"/>
                <w:lang w:val="en-US" w:eastAsia="zh-CN" w:bidi="ar"/>
              </w:rPr>
              <w:t>铜芯线铺设</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米</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漏电开关2P32A</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14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φ20mmKGB穿线管铺设安装</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米</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总计：</w:t>
            </w:r>
          </w:p>
        </w:tc>
        <w:tc>
          <w:tcPr>
            <w:tcW w:w="7718"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val="0"/>
        <w:snapToGrid w:val="0"/>
        <w:spacing w:line="440" w:lineRule="exact"/>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val="0"/>
        <w:snapToGrid w:val="0"/>
        <w:spacing w:line="440" w:lineRule="exact"/>
        <w:rPr>
          <w:rFonts w:hint="eastAsia" w:ascii="仿宋" w:hAnsi="仿宋" w:eastAsia="仿宋" w:cs="仿宋"/>
          <w:sz w:val="24"/>
          <w:szCs w:val="24"/>
        </w:rPr>
      </w:pPr>
      <w:r>
        <w:rPr>
          <w:rFonts w:hint="eastAsia" w:ascii="仿宋" w:hAnsi="仿宋" w:eastAsia="仿宋" w:cs="仿宋"/>
          <w:sz w:val="24"/>
          <w:szCs w:val="24"/>
        </w:rPr>
        <w:t>注：报价表中所有报价均为含税报价，综合单价为工程验收合格结算价，包括材料费、人工费、管理费、税金等所有施工结算中发生的各种费用。</w:t>
      </w:r>
    </w:p>
    <w:p>
      <w:pPr>
        <w:keepNext w:val="0"/>
        <w:keepLines w:val="0"/>
        <w:pageBreakBefore w:val="0"/>
        <w:kinsoku/>
        <w:wordWrap/>
        <w:overflowPunct/>
        <w:topLinePunct w:val="0"/>
        <w:autoSpaceDE/>
        <w:autoSpaceDN/>
        <w:bidi w:val="0"/>
        <w:adjustRightInd/>
        <w:spacing w:line="440" w:lineRule="exact"/>
        <w:ind w:left="0"/>
        <w:rPr>
          <w:rFonts w:hint="eastAsia" w:ascii="仿宋" w:hAnsi="仿宋" w:eastAsia="仿宋" w:cs="仿宋"/>
          <w:sz w:val="24"/>
          <w:szCs w:val="24"/>
        </w:rPr>
      </w:pPr>
    </w:p>
    <w:p>
      <w:pPr>
        <w:rPr>
          <w:rFonts w:hint="eastAsia" w:ascii="仿宋" w:hAnsi="仿宋" w:eastAsia="仿宋" w:cs="仿宋"/>
          <w:sz w:val="24"/>
          <w:szCs w:val="24"/>
        </w:rPr>
      </w:pPr>
    </w:p>
    <w:p>
      <w:pPr>
        <w:pStyle w:val="3"/>
        <w:pageBreakBefore/>
        <w:jc w:val="center"/>
        <w:rPr>
          <w:rFonts w:ascii="仿宋" w:hAnsi="仿宋" w:eastAsia="仿宋" w:cs="仿宋"/>
          <w:b w:val="0"/>
        </w:rPr>
      </w:pPr>
      <w:bookmarkStart w:id="43" w:name="_Toc6472"/>
      <w:r>
        <w:rPr>
          <w:rFonts w:hint="eastAsia" w:ascii="仿宋" w:hAnsi="仿宋" w:eastAsia="仿宋" w:cs="仿宋"/>
          <w:b w:val="0"/>
        </w:rPr>
        <w:t>第五章   响应文件格式</w:t>
      </w:r>
      <w:bookmarkEnd w:id="42"/>
      <w:bookmarkEnd w:id="43"/>
    </w:p>
    <w:p>
      <w:pPr>
        <w:pStyle w:val="4"/>
        <w:jc w:val="center"/>
        <w:rPr>
          <w:rFonts w:ascii="仿宋" w:hAnsi="仿宋" w:eastAsia="仿宋" w:cs="仿宋"/>
          <w:b w:val="0"/>
        </w:rPr>
      </w:pPr>
      <w:bookmarkStart w:id="44" w:name="_Toc535048518"/>
      <w:bookmarkStart w:id="45" w:name="_Toc14436"/>
      <w:r>
        <w:rPr>
          <w:rFonts w:hint="eastAsia" w:ascii="仿宋" w:hAnsi="仿宋" w:eastAsia="仿宋" w:cs="仿宋"/>
          <w:b w:val="0"/>
        </w:rPr>
        <w:t>第一部分 报价函部分格式</w:t>
      </w:r>
      <w:bookmarkEnd w:id="44"/>
      <w:bookmarkEnd w:id="45"/>
    </w:p>
    <w:p>
      <w:pPr>
        <w:spacing w:line="360" w:lineRule="auto"/>
        <w:jc w:val="center"/>
        <w:rPr>
          <w:rFonts w:ascii="仿宋" w:hAnsi="仿宋" w:eastAsia="仿宋" w:cs="仿宋"/>
        </w:rPr>
      </w:pPr>
      <w:r>
        <w:rPr>
          <w:rFonts w:hint="eastAsia" w:ascii="仿宋" w:hAnsi="仿宋" w:eastAsia="仿宋" w:cs="仿宋"/>
          <w:bCs/>
          <w:sz w:val="24"/>
          <w:szCs w:val="24"/>
        </w:rPr>
        <w:t>一、授权委托书</w:t>
      </w:r>
    </w:p>
    <w:p>
      <w:pPr>
        <w:spacing w:line="360" w:lineRule="auto"/>
        <w:ind w:firstLine="480"/>
        <w:rPr>
          <w:rFonts w:ascii="仿宋" w:hAnsi="仿宋" w:eastAsia="仿宋" w:cs="仿宋"/>
        </w:rPr>
      </w:pPr>
      <w:r>
        <w:rPr>
          <w:rFonts w:hint="eastAsia" w:ascii="仿宋" w:hAnsi="仿宋" w:eastAsia="仿宋" w:cs="仿宋"/>
          <w:sz w:val="24"/>
          <w:szCs w:val="24"/>
        </w:rPr>
        <w:t xml:space="preserve">本授权委托书声明：我 </w:t>
      </w:r>
      <w:r>
        <w:rPr>
          <w:rFonts w:hint="eastAsia" w:ascii="仿宋" w:hAnsi="仿宋" w:eastAsia="仿宋" w:cs="仿宋"/>
          <w:sz w:val="24"/>
          <w:szCs w:val="24"/>
          <w:u w:val="single"/>
        </w:rPr>
        <w:t xml:space="preserve">  (姓名)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 xml:space="preserve">    (单位名称)    </w:t>
      </w:r>
      <w:r>
        <w:rPr>
          <w:rFonts w:hint="eastAsia" w:ascii="仿宋" w:hAnsi="仿宋" w:eastAsia="仿宋" w:cs="仿宋"/>
          <w:sz w:val="24"/>
          <w:szCs w:val="24"/>
        </w:rPr>
        <w:t>的</w:t>
      </w:r>
      <w:r>
        <w:rPr>
          <w:rFonts w:hint="eastAsia" w:ascii="仿宋" w:hAnsi="仿宋" w:eastAsia="仿宋" w:cs="仿宋"/>
          <w:sz w:val="24"/>
          <w:szCs w:val="24"/>
          <w:u w:val="single"/>
        </w:rPr>
        <w:t xml:space="preserve">     （姓名）   </w:t>
      </w:r>
      <w:r>
        <w:rPr>
          <w:rFonts w:hint="eastAsia" w:ascii="仿宋" w:hAnsi="仿宋" w:eastAsia="仿宋" w:cs="仿宋"/>
          <w:sz w:val="24"/>
          <w:szCs w:val="24"/>
        </w:rPr>
        <w:t>为我公司签署工程的响应文件的法定代表人授权委托代理人，我承认代理人全权代表我所签署的本工程的响应文件的内容。</w:t>
      </w:r>
    </w:p>
    <w:p>
      <w:pPr>
        <w:spacing w:line="360" w:lineRule="auto"/>
        <w:ind w:firstLine="480"/>
        <w:rPr>
          <w:rFonts w:ascii="仿宋" w:hAnsi="仿宋" w:eastAsia="仿宋" w:cs="仿宋"/>
        </w:rPr>
      </w:pPr>
      <w:r>
        <w:rPr>
          <w:rFonts w:hint="eastAsia" w:ascii="仿宋" w:hAnsi="仿宋" w:eastAsia="仿宋" w:cs="仿宋"/>
          <w:sz w:val="24"/>
          <w:szCs w:val="24"/>
        </w:rPr>
        <w:t>代理人无转委托权，特此委托。</w:t>
      </w:r>
    </w:p>
    <w:tbl>
      <w:tblPr>
        <w:tblStyle w:val="20"/>
        <w:tblW w:w="6716" w:type="dxa"/>
        <w:jc w:val="center"/>
        <w:tblLayout w:type="fixed"/>
        <w:tblCellMar>
          <w:top w:w="0" w:type="dxa"/>
          <w:left w:w="108" w:type="dxa"/>
          <w:bottom w:w="0" w:type="dxa"/>
          <w:right w:w="108" w:type="dxa"/>
        </w:tblCellMar>
      </w:tblPr>
      <w:tblGrid>
        <w:gridCol w:w="6716"/>
      </w:tblGrid>
      <w:tr>
        <w:tblPrEx>
          <w:tblCellMar>
            <w:top w:w="0" w:type="dxa"/>
            <w:left w:w="108" w:type="dxa"/>
            <w:bottom w:w="0" w:type="dxa"/>
            <w:right w:w="108" w:type="dxa"/>
          </w:tblCellMar>
        </w:tblPrEx>
        <w:trPr>
          <w:trHeight w:val="3837" w:hRule="atLeast"/>
          <w:jc w:val="center"/>
        </w:trPr>
        <w:tc>
          <w:tcPr>
            <w:tcW w:w="67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授权委托人的身份证明</w:t>
            </w:r>
          </w:p>
          <w:p>
            <w:pPr>
              <w:spacing w:line="360" w:lineRule="auto"/>
              <w:jc w:val="center"/>
              <w:rPr>
                <w:rFonts w:ascii="仿宋" w:hAnsi="仿宋" w:eastAsia="仿宋" w:cs="仿宋"/>
              </w:rPr>
            </w:pPr>
            <w:r>
              <w:rPr>
                <w:rFonts w:hint="eastAsia" w:ascii="仿宋" w:hAnsi="仿宋" w:eastAsia="仿宋" w:cs="仿宋"/>
                <w:sz w:val="24"/>
                <w:szCs w:val="24"/>
              </w:rPr>
              <w:t>（粘贴处）</w:t>
            </w:r>
          </w:p>
        </w:tc>
      </w:tr>
    </w:tbl>
    <w:p>
      <w:pPr>
        <w:spacing w:line="360" w:lineRule="auto"/>
        <w:ind w:firstLine="1200" w:firstLineChars="500"/>
        <w:rPr>
          <w:rFonts w:ascii="仿宋" w:hAnsi="仿宋" w:eastAsia="仿宋" w:cs="仿宋"/>
        </w:rPr>
      </w:pPr>
      <w:r>
        <w:rPr>
          <w:rFonts w:hint="eastAsia" w:ascii="仿宋" w:hAnsi="仿宋" w:eastAsia="仿宋" w:cs="仿宋"/>
          <w:sz w:val="24"/>
          <w:szCs w:val="24"/>
        </w:rPr>
        <w:t>代理人：性别： 年龄：</w:t>
      </w:r>
    </w:p>
    <w:p>
      <w:pPr>
        <w:spacing w:line="360" w:lineRule="auto"/>
        <w:rPr>
          <w:rFonts w:ascii="仿宋" w:hAnsi="仿宋" w:eastAsia="仿宋" w:cs="仿宋"/>
        </w:rPr>
      </w:pPr>
      <w:r>
        <w:rPr>
          <w:rFonts w:hint="eastAsia" w:ascii="仿宋" w:hAnsi="仿宋" w:eastAsia="仿宋" w:cs="仿宋"/>
          <w:sz w:val="24"/>
          <w:szCs w:val="24"/>
        </w:rPr>
        <w:t xml:space="preserve">          身份证号码：职务：</w:t>
      </w:r>
    </w:p>
    <w:p>
      <w:pPr>
        <w:spacing w:line="360" w:lineRule="auto"/>
        <w:ind w:firstLine="1200" w:firstLineChars="500"/>
        <w:rPr>
          <w:rFonts w:ascii="仿宋" w:hAnsi="仿宋" w:eastAsia="仿宋" w:cs="仿宋"/>
        </w:rPr>
      </w:pPr>
      <w:r>
        <w:rPr>
          <w:rFonts w:hint="eastAsia" w:ascii="仿宋" w:hAnsi="仿宋" w:eastAsia="仿宋" w:cs="仿宋"/>
          <w:sz w:val="24"/>
          <w:szCs w:val="24"/>
        </w:rPr>
        <w:t>供应商：</w:t>
      </w:r>
      <w:r>
        <w:rPr>
          <w:rFonts w:hint="eastAsia" w:ascii="仿宋" w:hAnsi="仿宋" w:eastAsia="仿宋" w:cs="仿宋"/>
          <w:sz w:val="24"/>
          <w:szCs w:val="24"/>
          <w:u w:val="single"/>
        </w:rPr>
        <w:t xml:space="preserve">                                    （盖章）</w:t>
      </w:r>
    </w:p>
    <w:p>
      <w:pPr>
        <w:tabs>
          <w:tab w:val="center" w:pos="4153"/>
        </w:tabs>
        <w:spacing w:line="360" w:lineRule="auto"/>
        <w:ind w:firstLine="1200" w:firstLineChars="500"/>
        <w:rPr>
          <w:rFonts w:ascii="仿宋" w:hAnsi="仿宋" w:eastAsia="仿宋" w:cs="仿宋"/>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（签字或盖章）           </w:t>
      </w:r>
    </w:p>
    <w:p>
      <w:pPr>
        <w:spacing w:line="360" w:lineRule="auto"/>
        <w:ind w:firstLine="1200" w:firstLineChars="500"/>
        <w:rPr>
          <w:rFonts w:ascii="仿宋" w:hAnsi="仿宋" w:eastAsia="仿宋" w:cs="仿宋"/>
        </w:rPr>
      </w:pPr>
      <w:r>
        <w:rPr>
          <w:rFonts w:hint="eastAsia" w:ascii="仿宋" w:hAnsi="仿宋" w:eastAsia="仿宋" w:cs="仿宋"/>
          <w:sz w:val="24"/>
          <w:szCs w:val="24"/>
        </w:rPr>
        <w:t>授权委托日期：年 月日</w:t>
      </w:r>
    </w:p>
    <w:p>
      <w:pPr>
        <w:pageBreakBefore/>
        <w:spacing w:line="360" w:lineRule="auto"/>
        <w:jc w:val="center"/>
        <w:rPr>
          <w:rFonts w:ascii="仿宋" w:hAnsi="仿宋" w:eastAsia="仿宋" w:cs="仿宋"/>
          <w:szCs w:val="28"/>
        </w:rPr>
      </w:pPr>
      <w:r>
        <w:rPr>
          <w:rFonts w:hint="eastAsia" w:ascii="仿宋" w:hAnsi="仿宋" w:eastAsia="仿宋" w:cs="仿宋"/>
          <w:bCs/>
          <w:szCs w:val="28"/>
        </w:rPr>
        <w:t>二、 报 价 函</w:t>
      </w:r>
    </w:p>
    <w:p>
      <w:pPr>
        <w:snapToGrid w:val="0"/>
        <w:spacing w:line="360" w:lineRule="auto"/>
        <w:rPr>
          <w:rFonts w:ascii="仿宋" w:hAnsi="仿宋" w:eastAsia="仿宋" w:cs="仿宋"/>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line="360" w:lineRule="auto"/>
        <w:rPr>
          <w:rFonts w:ascii="仿宋" w:hAnsi="仿宋" w:eastAsia="仿宋" w:cs="仿宋"/>
        </w:rPr>
      </w:pPr>
      <w:r>
        <w:rPr>
          <w:rFonts w:hint="eastAsia" w:ascii="仿宋" w:hAnsi="仿宋" w:eastAsia="仿宋" w:cs="仿宋"/>
          <w:sz w:val="24"/>
          <w:szCs w:val="24"/>
        </w:rPr>
        <w:t>根据已收到的贵方工程的磋商文件，我方经考察现场和仔细研究磋商文件的全部内容，已完全理解并全部接受磋商文件的所有要求，并考虑到了潜在所有风险。据此，我们愿以人民币详见下表的响应报价，按合同条款、技术要求及规范等要求承包上述工程的施工、竣工并承担保修责任。</w:t>
      </w:r>
    </w:p>
    <w:p>
      <w:pPr>
        <w:snapToGrid w:val="0"/>
        <w:spacing w:line="360" w:lineRule="auto"/>
        <w:ind w:firstLine="480"/>
        <w:rPr>
          <w:rFonts w:ascii="仿宋" w:hAnsi="仿宋" w:eastAsia="仿宋" w:cs="仿宋"/>
        </w:rPr>
      </w:pPr>
      <w:r>
        <w:rPr>
          <w:rFonts w:hint="eastAsia" w:ascii="仿宋" w:hAnsi="仿宋" w:eastAsia="仿宋" w:cs="仿宋"/>
          <w:sz w:val="24"/>
          <w:szCs w:val="24"/>
        </w:rPr>
        <w:t>1、一旦我方成交，我方保证在在收到开工通知书后，按要求的时间开工。</w:t>
      </w:r>
    </w:p>
    <w:p>
      <w:pPr>
        <w:snapToGrid w:val="0"/>
        <w:spacing w:line="360" w:lineRule="auto"/>
        <w:ind w:firstLine="480"/>
        <w:rPr>
          <w:rFonts w:ascii="仿宋" w:hAnsi="仿宋" w:eastAsia="仿宋" w:cs="仿宋"/>
        </w:rPr>
      </w:pPr>
      <w:r>
        <w:rPr>
          <w:rFonts w:hint="eastAsia" w:ascii="仿宋" w:hAnsi="仿宋" w:eastAsia="仿宋" w:cs="仿宋"/>
          <w:sz w:val="24"/>
          <w:szCs w:val="24"/>
        </w:rPr>
        <w:t>2、我方同意磋商文件对响应有效期的规定。在响应有效期以前的任何时间，本响应书一直对我方具有约束力，并可随时被接受成交。</w:t>
      </w:r>
    </w:p>
    <w:p>
      <w:pPr>
        <w:snapToGrid w:val="0"/>
        <w:spacing w:line="360" w:lineRule="auto"/>
        <w:ind w:firstLine="480"/>
        <w:rPr>
          <w:rFonts w:ascii="仿宋" w:hAnsi="仿宋" w:eastAsia="仿宋" w:cs="仿宋"/>
        </w:rPr>
      </w:pPr>
      <w:r>
        <w:rPr>
          <w:rFonts w:hint="eastAsia" w:ascii="仿宋" w:hAnsi="仿宋" w:eastAsia="仿宋" w:cs="仿宋"/>
          <w:sz w:val="24"/>
          <w:szCs w:val="24"/>
        </w:rPr>
        <w:t>3、在制定和签署一份正式协议书之前，本报价函连同贵方的书面成交通知，将构成约束贵我双方的合同。</w:t>
      </w:r>
    </w:p>
    <w:p>
      <w:pPr>
        <w:snapToGrid w:val="0"/>
        <w:spacing w:line="360" w:lineRule="auto"/>
        <w:ind w:firstLine="480"/>
        <w:rPr>
          <w:rFonts w:ascii="仿宋" w:hAnsi="仿宋" w:eastAsia="仿宋" w:cs="仿宋"/>
        </w:rPr>
      </w:pPr>
      <w:r>
        <w:rPr>
          <w:rFonts w:hint="eastAsia" w:ascii="仿宋" w:hAnsi="仿宋" w:eastAsia="仿宋" w:cs="仿宋"/>
          <w:sz w:val="24"/>
          <w:szCs w:val="24"/>
        </w:rPr>
        <w:t>4、我方也理解，不论成交与否，贵方不承担我方的任何响应费用。</w:t>
      </w:r>
    </w:p>
    <w:p>
      <w:pPr>
        <w:snapToGrid w:val="0"/>
        <w:spacing w:line="360" w:lineRule="auto"/>
        <w:ind w:firstLine="482"/>
        <w:rPr>
          <w:rFonts w:ascii="仿宋" w:hAnsi="仿宋" w:eastAsia="仿宋" w:cs="仿宋"/>
        </w:rPr>
      </w:pPr>
      <w:r>
        <w:rPr>
          <w:rFonts w:hint="eastAsia" w:ascii="仿宋" w:hAnsi="仿宋" w:eastAsia="仿宋" w:cs="仿宋"/>
          <w:sz w:val="24"/>
          <w:szCs w:val="24"/>
        </w:rPr>
        <w:t>供应商（盖章）：                   法定代表人（签字）：</w:t>
      </w:r>
    </w:p>
    <w:p>
      <w:pPr>
        <w:wordWrap w:val="0"/>
        <w:snapToGrid w:val="0"/>
        <w:spacing w:line="360" w:lineRule="auto"/>
        <w:ind w:firstLine="482"/>
        <w:jc w:val="right"/>
        <w:rPr>
          <w:rFonts w:ascii="仿宋" w:hAnsi="仿宋" w:eastAsia="仿宋" w:cs="仿宋"/>
        </w:rPr>
      </w:pPr>
      <w:r>
        <w:rPr>
          <w:rFonts w:hint="eastAsia" w:ascii="仿宋" w:hAnsi="仿宋" w:eastAsia="仿宋" w:cs="仿宋"/>
          <w:sz w:val="24"/>
          <w:szCs w:val="24"/>
        </w:rPr>
        <w:t>日期：      年  月  日</w:t>
      </w:r>
    </w:p>
    <w:p>
      <w:pPr>
        <w:pageBreakBefore/>
        <w:spacing w:line="360" w:lineRule="auto"/>
        <w:ind w:firstLine="480"/>
        <w:rPr>
          <w:rFonts w:ascii="仿宋" w:hAnsi="仿宋" w:eastAsia="仿宋" w:cs="仿宋"/>
          <w:sz w:val="24"/>
          <w:szCs w:val="24"/>
        </w:rPr>
      </w:pPr>
    </w:p>
    <w:p>
      <w:pPr>
        <w:spacing w:line="360" w:lineRule="auto"/>
        <w:jc w:val="center"/>
        <w:rPr>
          <w:rFonts w:ascii="仿宋" w:hAnsi="仿宋" w:eastAsia="仿宋" w:cs="仿宋"/>
        </w:rPr>
      </w:pPr>
      <w:r>
        <w:rPr>
          <w:rFonts w:hint="eastAsia" w:ascii="仿宋" w:hAnsi="仿宋" w:eastAsia="仿宋" w:cs="仿宋"/>
          <w:sz w:val="24"/>
          <w:szCs w:val="24"/>
        </w:rPr>
        <w:t>三、报价一览表</w:t>
      </w:r>
    </w:p>
    <w:tbl>
      <w:tblPr>
        <w:tblStyle w:val="20"/>
        <w:tblW w:w="8709" w:type="dxa"/>
        <w:jc w:val="center"/>
        <w:tblLayout w:type="fixed"/>
        <w:tblCellMar>
          <w:top w:w="0" w:type="dxa"/>
          <w:left w:w="108" w:type="dxa"/>
          <w:bottom w:w="0" w:type="dxa"/>
          <w:right w:w="108" w:type="dxa"/>
        </w:tblCellMar>
      </w:tblPr>
      <w:tblGrid>
        <w:gridCol w:w="1940"/>
        <w:gridCol w:w="1197"/>
        <w:gridCol w:w="1737"/>
        <w:gridCol w:w="1396"/>
        <w:gridCol w:w="2439"/>
      </w:tblGrid>
      <w:tr>
        <w:tblPrEx>
          <w:tblCellMar>
            <w:top w:w="0" w:type="dxa"/>
            <w:left w:w="108" w:type="dxa"/>
            <w:bottom w:w="0" w:type="dxa"/>
            <w:right w:w="108" w:type="dxa"/>
          </w:tblCellMar>
        </w:tblPrEx>
        <w:trPr>
          <w:trHeight w:val="669"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项目名称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项目编号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包号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8"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供应商名称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响应总报价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 xml:space="preserve">大写：            </w:t>
            </w:r>
          </w:p>
          <w:p>
            <w:pPr>
              <w:spacing w:line="360" w:lineRule="auto"/>
              <w:rPr>
                <w:rFonts w:ascii="仿宋" w:hAnsi="仿宋" w:eastAsia="仿宋" w:cs="仿宋"/>
              </w:rPr>
            </w:pPr>
            <w:r>
              <w:rPr>
                <w:rFonts w:hint="eastAsia" w:ascii="仿宋" w:hAnsi="仿宋" w:eastAsia="仿宋" w:cs="仿宋"/>
                <w:sz w:val="24"/>
                <w:szCs w:val="24"/>
              </w:rPr>
              <w:t>小写：             元</w:t>
            </w:r>
          </w:p>
        </w:tc>
      </w:tr>
      <w:tr>
        <w:tblPrEx>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工程保修期</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724"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ind w:left="178" w:hanging="178"/>
              <w:jc w:val="center"/>
              <w:rPr>
                <w:rFonts w:ascii="仿宋" w:hAnsi="仿宋" w:eastAsia="仿宋" w:cs="仿宋"/>
              </w:rPr>
            </w:pPr>
            <w:r>
              <w:rPr>
                <w:rFonts w:hint="eastAsia" w:ascii="仿宋" w:hAnsi="仿宋" w:eastAsia="仿宋" w:cs="仿宋"/>
                <w:sz w:val="24"/>
                <w:szCs w:val="24"/>
              </w:rPr>
              <w:t>质量标准</w:t>
            </w:r>
          </w:p>
        </w:tc>
        <w:tc>
          <w:tcPr>
            <w:tcW w:w="2934" w:type="dxa"/>
            <w:gridSpan w:val="2"/>
            <w:tcBorders>
              <w:top w:val="single" w:color="000000" w:sz="4" w:space="0"/>
              <w:left w:val="single" w:color="000000" w:sz="4" w:space="0"/>
              <w:bottom w:val="single" w:color="000000" w:sz="4" w:space="0"/>
            </w:tcBorders>
            <w:vAlign w:val="center"/>
          </w:tcPr>
          <w:p>
            <w:pPr>
              <w:snapToGrid w:val="0"/>
              <w:spacing w:line="360" w:lineRule="auto"/>
              <w:jc w:val="center"/>
              <w:rPr>
                <w:rFonts w:ascii="仿宋" w:hAnsi="仿宋" w:eastAsia="仿宋" w:cs="仿宋"/>
                <w:sz w:val="24"/>
                <w:szCs w:val="24"/>
              </w:rPr>
            </w:pPr>
          </w:p>
        </w:tc>
        <w:tc>
          <w:tcPr>
            <w:tcW w:w="1396"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承诺工期</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共个日历日</w:t>
            </w:r>
          </w:p>
        </w:tc>
      </w:tr>
      <w:tr>
        <w:tblPrEx>
          <w:tblCellMar>
            <w:top w:w="0" w:type="dxa"/>
            <w:left w:w="108" w:type="dxa"/>
            <w:bottom w:w="0" w:type="dxa"/>
            <w:right w:w="108" w:type="dxa"/>
          </w:tblCellMar>
        </w:tblPrEx>
        <w:trPr>
          <w:trHeight w:val="8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对磋商文件</w:t>
            </w:r>
          </w:p>
          <w:p>
            <w:pPr>
              <w:spacing w:line="360" w:lineRule="auto"/>
              <w:jc w:val="center"/>
              <w:rPr>
                <w:rFonts w:ascii="仿宋" w:hAnsi="仿宋" w:eastAsia="仿宋" w:cs="仿宋"/>
              </w:rPr>
            </w:pPr>
            <w:r>
              <w:rPr>
                <w:rFonts w:hint="eastAsia" w:ascii="仿宋" w:hAnsi="仿宋" w:eastAsia="仿宋" w:cs="仿宋"/>
                <w:sz w:val="24"/>
                <w:szCs w:val="24"/>
              </w:rPr>
              <w:t>的认同程度</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869" w:hRule="atLeast"/>
          <w:jc w:val="center"/>
        </w:trPr>
        <w:tc>
          <w:tcPr>
            <w:tcW w:w="3137" w:type="dxa"/>
            <w:gridSpan w:val="2"/>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法定代表人或委托代理人确认（签字）</w:t>
            </w:r>
          </w:p>
        </w:tc>
        <w:tc>
          <w:tcPr>
            <w:tcW w:w="557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cantSplit/>
          <w:trHeight w:val="555" w:hRule="atLeast"/>
          <w:jc w:val="center"/>
        </w:trPr>
        <w:tc>
          <w:tcPr>
            <w:tcW w:w="8709"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4"/>
                <w:szCs w:val="24"/>
              </w:rPr>
              <w:t>注：本报价一览表除含在响应文件中，另外必须单独密封一份，用以公开报价。</w:t>
            </w:r>
          </w:p>
        </w:tc>
      </w:tr>
    </w:tbl>
    <w:p>
      <w:pPr>
        <w:spacing w:line="360" w:lineRule="auto"/>
        <w:rPr>
          <w:rFonts w:ascii="仿宋" w:hAnsi="仿宋" w:eastAsia="仿宋" w:cs="仿宋"/>
          <w:bCs/>
          <w:sz w:val="24"/>
          <w:szCs w:val="24"/>
        </w:rPr>
      </w:pPr>
    </w:p>
    <w:p>
      <w:pPr>
        <w:spacing w:line="360" w:lineRule="auto"/>
        <w:ind w:firstLine="410"/>
        <w:rPr>
          <w:rFonts w:ascii="仿宋" w:hAnsi="仿宋" w:eastAsia="仿宋" w:cs="仿宋"/>
        </w:rPr>
      </w:pPr>
      <w:r>
        <w:rPr>
          <w:rFonts w:hint="eastAsia" w:ascii="仿宋" w:hAnsi="仿宋" w:eastAsia="仿宋" w:cs="仿宋"/>
          <w:sz w:val="24"/>
          <w:szCs w:val="24"/>
        </w:rPr>
        <w:t xml:space="preserve">供应商（盖章）   </w:t>
      </w:r>
    </w:p>
    <w:p>
      <w:pPr>
        <w:spacing w:line="360" w:lineRule="auto"/>
        <w:ind w:firstLine="410"/>
        <w:rPr>
          <w:rFonts w:ascii="仿宋" w:hAnsi="仿宋" w:eastAsia="仿宋" w:cs="仿宋"/>
        </w:rPr>
      </w:pPr>
      <w:r>
        <w:rPr>
          <w:rFonts w:hint="eastAsia" w:ascii="仿宋" w:hAnsi="仿宋" w:eastAsia="仿宋" w:cs="仿宋"/>
          <w:sz w:val="24"/>
          <w:szCs w:val="24"/>
        </w:rPr>
        <w:t>法定代表人或委托代理人：（签字或盖章）</w:t>
      </w:r>
    </w:p>
    <w:p>
      <w:pPr>
        <w:spacing w:line="360" w:lineRule="auto"/>
        <w:ind w:firstLine="352"/>
        <w:rPr>
          <w:rFonts w:ascii="仿宋" w:hAnsi="仿宋" w:eastAsia="仿宋" w:cs="仿宋"/>
        </w:rPr>
      </w:pPr>
      <w:r>
        <w:rPr>
          <w:rFonts w:hint="eastAsia" w:ascii="仿宋" w:hAnsi="仿宋" w:eastAsia="仿宋" w:cs="仿宋"/>
          <w:sz w:val="24"/>
          <w:szCs w:val="24"/>
        </w:rPr>
        <w:t>日期：年月日</w:t>
      </w:r>
    </w:p>
    <w:p>
      <w:pPr>
        <w:pStyle w:val="2"/>
      </w:pPr>
    </w:p>
    <w:p>
      <w:pPr>
        <w:pStyle w:val="4"/>
        <w:jc w:val="center"/>
        <w:rPr>
          <w:rFonts w:ascii="仿宋" w:hAnsi="仿宋" w:eastAsia="仿宋" w:cs="仿宋"/>
          <w:b w:val="0"/>
        </w:rPr>
      </w:pPr>
      <w:r>
        <w:rPr>
          <w:rFonts w:hint="eastAsia" w:ascii="仿宋" w:hAnsi="仿宋" w:eastAsia="仿宋" w:cs="仿宋"/>
          <w:b w:val="0"/>
        </w:rPr>
        <w:br w:type="page"/>
      </w:r>
      <w:bookmarkStart w:id="46" w:name="_Toc535048520"/>
      <w:bookmarkStart w:id="47" w:name="_Toc3980"/>
      <w:r>
        <w:rPr>
          <w:rFonts w:hint="eastAsia" w:ascii="仿宋" w:hAnsi="仿宋" w:eastAsia="仿宋" w:cs="仿宋"/>
          <w:b w:val="0"/>
        </w:rPr>
        <w:t>第二部分 技术部分</w:t>
      </w:r>
      <w:bookmarkEnd w:id="46"/>
      <w:bookmarkEnd w:id="47"/>
    </w:p>
    <w:p>
      <w:pPr>
        <w:overflowPunct w:val="0"/>
        <w:autoSpaceDE w:val="0"/>
        <w:snapToGrid w:val="0"/>
        <w:spacing w:line="360" w:lineRule="auto"/>
        <w:jc w:val="center"/>
        <w:rPr>
          <w:rFonts w:ascii="仿宋" w:hAnsi="仿宋" w:eastAsia="仿宋" w:cs="仿宋"/>
        </w:rPr>
      </w:pPr>
      <w:r>
        <w:rPr>
          <w:rFonts w:hint="eastAsia" w:ascii="仿宋" w:hAnsi="仿宋" w:eastAsia="仿宋" w:cs="仿宋"/>
          <w:bCs/>
          <w:sz w:val="24"/>
          <w:szCs w:val="24"/>
        </w:rPr>
        <w:t>一、施工组织设计</w:t>
      </w:r>
    </w:p>
    <w:p>
      <w:pPr>
        <w:autoSpaceDE w:val="0"/>
        <w:snapToGrid w:val="0"/>
        <w:spacing w:line="360" w:lineRule="auto"/>
        <w:ind w:right="-103" w:firstLine="480"/>
        <w:rPr>
          <w:rFonts w:ascii="仿宋" w:hAnsi="仿宋" w:eastAsia="仿宋" w:cs="仿宋"/>
        </w:rPr>
      </w:pPr>
      <w:r>
        <w:rPr>
          <w:rFonts w:hint="eastAsia" w:ascii="仿宋" w:hAnsi="仿宋" w:eastAsia="仿宋" w:cs="仿宋"/>
          <w:sz w:val="24"/>
          <w:szCs w:val="24"/>
        </w:rPr>
        <w:t>供应商应编制施工组织设计，包括磋商文件第一章第二部分“响应须知”第11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spacing w:line="360" w:lineRule="auto"/>
        <w:rPr>
          <w:rFonts w:ascii="仿宋" w:hAnsi="仿宋" w:eastAsia="仿宋" w:cs="仿宋"/>
          <w:sz w:val="24"/>
          <w:szCs w:val="24"/>
        </w:rPr>
      </w:pPr>
    </w:p>
    <w:p>
      <w:pPr>
        <w:pStyle w:val="3"/>
        <w:pageBreakBefore/>
        <w:jc w:val="center"/>
        <w:rPr>
          <w:rFonts w:ascii="仿宋" w:hAnsi="仿宋" w:eastAsia="仿宋" w:cs="仿宋"/>
          <w:b w:val="0"/>
        </w:rPr>
      </w:pPr>
      <w:bookmarkStart w:id="48" w:name="_Toc15695"/>
      <w:bookmarkStart w:id="49" w:name="_Toc535048521"/>
      <w:r>
        <w:rPr>
          <w:rFonts w:hint="eastAsia" w:ascii="仿宋" w:hAnsi="仿宋" w:eastAsia="仿宋" w:cs="仿宋"/>
          <w:b w:val="0"/>
        </w:rPr>
        <w:t>第六章 具体评审办法</w:t>
      </w:r>
      <w:bookmarkEnd w:id="48"/>
      <w:bookmarkEnd w:id="49"/>
    </w:p>
    <w:p>
      <w:pPr>
        <w:autoSpaceDE w:val="0"/>
        <w:snapToGrid w:val="0"/>
        <w:spacing w:line="360" w:lineRule="auto"/>
        <w:ind w:firstLine="480"/>
        <w:rPr>
          <w:rFonts w:ascii="仿宋" w:hAnsi="仿宋" w:eastAsia="仿宋" w:cs="仿宋"/>
        </w:rPr>
      </w:pPr>
      <w:r>
        <w:rPr>
          <w:rFonts w:hint="eastAsia" w:ascii="仿宋" w:hAnsi="仿宋" w:eastAsia="仿宋" w:cs="仿宋"/>
          <w:sz w:val="24"/>
          <w:szCs w:val="24"/>
        </w:rPr>
        <w:t>第一步：响应文件的符合性鉴定</w:t>
      </w:r>
    </w:p>
    <w:p>
      <w:pPr>
        <w:snapToGrid w:val="0"/>
        <w:spacing w:line="360" w:lineRule="auto"/>
        <w:ind w:firstLine="480"/>
        <w:rPr>
          <w:rFonts w:ascii="仿宋" w:hAnsi="仿宋" w:eastAsia="仿宋" w:cs="仿宋"/>
        </w:rPr>
      </w:pPr>
      <w:r>
        <w:rPr>
          <w:rFonts w:hint="eastAsia" w:ascii="仿宋" w:hAnsi="仿宋" w:eastAsia="仿宋" w:cs="仿宋"/>
          <w:sz w:val="24"/>
          <w:szCs w:val="24"/>
        </w:rPr>
        <w:t>响应文件应实质性响应磋商文件的所有条款、条件，</w:t>
      </w:r>
      <w:r>
        <w:rPr>
          <w:rFonts w:hint="eastAsia" w:ascii="仿宋" w:hAnsi="仿宋" w:eastAsia="仿宋" w:cs="仿宋"/>
          <w:spacing w:val="-6"/>
          <w:sz w:val="24"/>
          <w:szCs w:val="24"/>
        </w:rPr>
        <w:t>无显著的差异或保留</w:t>
      </w:r>
      <w:r>
        <w:rPr>
          <w:rFonts w:hint="eastAsia" w:ascii="仿宋" w:hAnsi="仿宋" w:eastAsia="仿宋" w:cs="仿宋"/>
          <w:sz w:val="24"/>
          <w:szCs w:val="24"/>
        </w:rPr>
        <w:t>，按照磋商文件要求，无漏项和不合理的多项。本步骤主要考察以下内容：</w:t>
      </w:r>
    </w:p>
    <w:p>
      <w:pPr>
        <w:snapToGrid w:val="0"/>
        <w:spacing w:line="360" w:lineRule="auto"/>
        <w:ind w:firstLine="480"/>
        <w:rPr>
          <w:rFonts w:ascii="仿宋" w:hAnsi="仿宋" w:eastAsia="仿宋" w:cs="仿宋"/>
        </w:rPr>
      </w:pPr>
      <w:r>
        <w:rPr>
          <w:rFonts w:hint="eastAsia" w:ascii="仿宋" w:hAnsi="仿宋" w:eastAsia="仿宋" w:cs="仿宋"/>
          <w:sz w:val="24"/>
          <w:szCs w:val="24"/>
        </w:rPr>
        <w:t>1）响应文件涂改、增删处应有授权代表签字；</w:t>
      </w:r>
    </w:p>
    <w:p>
      <w:pPr>
        <w:snapToGrid w:val="0"/>
        <w:spacing w:line="360" w:lineRule="auto"/>
        <w:ind w:firstLine="480"/>
        <w:rPr>
          <w:rFonts w:ascii="仿宋" w:hAnsi="仿宋" w:eastAsia="仿宋" w:cs="仿宋"/>
        </w:rPr>
      </w:pPr>
      <w:r>
        <w:rPr>
          <w:rFonts w:hint="eastAsia" w:ascii="仿宋" w:hAnsi="仿宋" w:eastAsia="仿宋" w:cs="仿宋"/>
          <w:sz w:val="24"/>
          <w:szCs w:val="24"/>
        </w:rPr>
        <w:t>2）在质量标准、服务期限、发包范围及采购单位权力、供应商义务范围等方面应没有采购单位无法接受的保留条件；</w:t>
      </w:r>
    </w:p>
    <w:p>
      <w:pPr>
        <w:snapToGrid w:val="0"/>
        <w:spacing w:line="360" w:lineRule="auto"/>
        <w:ind w:firstLine="480"/>
        <w:rPr>
          <w:rFonts w:ascii="仿宋" w:hAnsi="仿宋" w:eastAsia="仿宋" w:cs="仿宋"/>
        </w:rPr>
      </w:pPr>
      <w:r>
        <w:rPr>
          <w:rFonts w:hint="eastAsia" w:ascii="仿宋" w:hAnsi="仿宋" w:eastAsia="仿宋" w:cs="仿宋"/>
          <w:sz w:val="24"/>
          <w:szCs w:val="24"/>
        </w:rPr>
        <w:t>3）响应文件应有单位盖章并有法定代表人或法定代表人授权的代理人签字或盖章；</w:t>
      </w:r>
    </w:p>
    <w:p>
      <w:pPr>
        <w:snapToGrid w:val="0"/>
        <w:spacing w:line="360" w:lineRule="auto"/>
        <w:ind w:firstLine="480"/>
        <w:rPr>
          <w:rFonts w:ascii="仿宋" w:hAnsi="仿宋" w:eastAsia="仿宋" w:cs="仿宋"/>
        </w:rPr>
      </w:pPr>
      <w:r>
        <w:rPr>
          <w:rFonts w:hint="eastAsia" w:ascii="仿宋" w:hAnsi="仿宋" w:eastAsia="仿宋" w:cs="仿宋"/>
          <w:sz w:val="24"/>
          <w:szCs w:val="24"/>
        </w:rPr>
        <w:t>4）响应文件内容齐全、关键字迹应清晰、便于辨认；</w:t>
      </w:r>
    </w:p>
    <w:p>
      <w:pPr>
        <w:snapToGrid w:val="0"/>
        <w:spacing w:line="360" w:lineRule="auto"/>
        <w:ind w:firstLine="480"/>
        <w:rPr>
          <w:rFonts w:ascii="仿宋" w:hAnsi="仿宋" w:eastAsia="仿宋" w:cs="仿宋"/>
        </w:rPr>
      </w:pPr>
      <w:r>
        <w:rPr>
          <w:rFonts w:hint="eastAsia" w:ascii="仿宋" w:hAnsi="仿宋" w:eastAsia="仿宋" w:cs="仿宋"/>
          <w:sz w:val="24"/>
          <w:szCs w:val="24"/>
        </w:rPr>
        <w:t>5）本项目不接受多方案报价；</w:t>
      </w:r>
    </w:p>
    <w:p>
      <w:pPr>
        <w:snapToGrid w:val="0"/>
        <w:spacing w:line="360" w:lineRule="auto"/>
        <w:ind w:firstLine="480"/>
        <w:rPr>
          <w:rFonts w:ascii="仿宋" w:hAnsi="仿宋" w:eastAsia="仿宋" w:cs="仿宋"/>
        </w:rPr>
      </w:pPr>
      <w:r>
        <w:rPr>
          <w:rFonts w:hint="eastAsia" w:ascii="仿宋" w:hAnsi="仿宋" w:eastAsia="仿宋" w:cs="仿宋"/>
          <w:sz w:val="24"/>
          <w:szCs w:val="24"/>
        </w:rPr>
        <w:t>6）供应商名称或企业组织机构与资格审查时应一致；</w:t>
      </w:r>
    </w:p>
    <w:p>
      <w:pPr>
        <w:snapToGrid w:val="0"/>
        <w:spacing w:line="360" w:lineRule="auto"/>
        <w:ind w:firstLine="480"/>
        <w:rPr>
          <w:rFonts w:ascii="仿宋" w:hAnsi="仿宋" w:eastAsia="仿宋" w:cs="仿宋"/>
        </w:rPr>
      </w:pPr>
      <w:r>
        <w:rPr>
          <w:rFonts w:hint="eastAsia" w:ascii="仿宋" w:hAnsi="仿宋" w:eastAsia="仿宋" w:cs="仿宋"/>
          <w:sz w:val="24"/>
          <w:szCs w:val="24"/>
        </w:rPr>
        <w:t>对某一供应商的鉴定中，若评委会认为某供应商有1项以上（包括1项）“不符合”，则该供应商不得进入下一步的评审。</w:t>
      </w:r>
    </w:p>
    <w:p>
      <w:pPr>
        <w:snapToGrid w:val="0"/>
        <w:spacing w:line="360" w:lineRule="auto"/>
        <w:ind w:firstLine="480"/>
        <w:rPr>
          <w:rFonts w:ascii="仿宋" w:hAnsi="仿宋" w:eastAsia="仿宋" w:cs="仿宋"/>
        </w:rPr>
      </w:pPr>
      <w:r>
        <w:rPr>
          <w:rFonts w:hint="eastAsia" w:ascii="仿宋" w:hAnsi="仿宋" w:eastAsia="仿宋" w:cs="仿宋"/>
          <w:sz w:val="24"/>
          <w:szCs w:val="24"/>
        </w:rPr>
        <w:t>第二步：对响应文件的澄清</w:t>
      </w:r>
    </w:p>
    <w:p>
      <w:pPr>
        <w:snapToGrid w:val="0"/>
        <w:spacing w:line="360" w:lineRule="auto"/>
        <w:ind w:firstLine="480"/>
        <w:rPr>
          <w:rFonts w:ascii="仿宋" w:hAnsi="仿宋" w:eastAsia="仿宋" w:cs="仿宋"/>
        </w:rPr>
      </w:pPr>
      <w:r>
        <w:rPr>
          <w:rFonts w:hint="eastAsia" w:ascii="仿宋" w:hAnsi="仿宋" w:eastAsia="仿宋" w:cs="仿宋"/>
          <w:sz w:val="24"/>
          <w:szCs w:val="24"/>
        </w:rPr>
        <w:t>各评委全面审阅通过“符合性鉴定”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pPr>
        <w:snapToGrid w:val="0"/>
        <w:spacing w:line="360" w:lineRule="auto"/>
        <w:ind w:firstLine="480"/>
        <w:rPr>
          <w:rFonts w:ascii="仿宋" w:hAnsi="仿宋" w:eastAsia="仿宋" w:cs="仿宋"/>
        </w:rPr>
      </w:pPr>
      <w:r>
        <w:rPr>
          <w:rFonts w:hint="eastAsia" w:ascii="仿宋" w:hAnsi="仿宋" w:eastAsia="仿宋" w:cs="仿宋"/>
          <w:sz w:val="24"/>
          <w:szCs w:val="24"/>
        </w:rPr>
        <w:t>第三步：综合评分</w:t>
      </w:r>
    </w:p>
    <w:p>
      <w:pPr>
        <w:snapToGrid w:val="0"/>
        <w:spacing w:line="360" w:lineRule="auto"/>
        <w:ind w:firstLine="480"/>
        <w:rPr>
          <w:rFonts w:ascii="仿宋" w:hAnsi="仿宋" w:eastAsia="仿宋" w:cs="仿宋"/>
        </w:rPr>
      </w:pPr>
      <w:r>
        <w:rPr>
          <w:rFonts w:hint="eastAsia" w:ascii="仿宋" w:hAnsi="仿宋" w:eastAsia="仿宋" w:cs="仿宋"/>
          <w:sz w:val="24"/>
          <w:szCs w:val="24"/>
        </w:rPr>
        <w:t>各评委在充分审阅供应商响应文件的基础上，按照评分标准对每个供应商进行分项打分。</w:t>
      </w:r>
    </w:p>
    <w:p>
      <w:pPr>
        <w:snapToGrid w:val="0"/>
        <w:spacing w:line="360" w:lineRule="auto"/>
        <w:ind w:firstLine="480"/>
        <w:rPr>
          <w:rFonts w:ascii="仿宋" w:hAnsi="仿宋" w:eastAsia="仿宋" w:cs="仿宋"/>
        </w:rPr>
      </w:pPr>
      <w:r>
        <w:rPr>
          <w:rFonts w:hint="eastAsia" w:ascii="仿宋" w:hAnsi="仿宋" w:eastAsia="仿宋" w:cs="仿宋"/>
          <w:sz w:val="24"/>
          <w:szCs w:val="24"/>
        </w:rPr>
        <w:t>第四步：名次评定及授标</w:t>
      </w:r>
    </w:p>
    <w:p>
      <w:pPr>
        <w:snapToGrid w:val="0"/>
        <w:spacing w:line="360" w:lineRule="auto"/>
        <w:ind w:firstLine="480"/>
        <w:rPr>
          <w:rFonts w:ascii="仿宋" w:hAnsi="仿宋" w:eastAsia="仿宋" w:cs="仿宋"/>
        </w:rPr>
      </w:pPr>
      <w:r>
        <w:rPr>
          <w:rFonts w:hint="eastAsia" w:ascii="仿宋" w:hAnsi="仿宋" w:eastAsia="仿宋" w:cs="仿宋"/>
          <w:sz w:val="24"/>
          <w:szCs w:val="24"/>
        </w:rPr>
        <w:t>每个包按分数从高到低的顺序，选定两名成交候选人，采购单位原则上应选定排名第一的成交候选人为该包成交人。</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注：对同一包而言，得分相同者，报价低的，名次在前；若报价也相同，则以技术响应更优者，名次在前。</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成交条件：响应文件能最大限度的满足磋商文件要求，综合得分最高，且能履行合同者。</w:t>
      </w:r>
    </w:p>
    <w:p>
      <w:pPr>
        <w:spacing w:line="360" w:lineRule="auto"/>
        <w:rPr>
          <w:rFonts w:ascii="仿宋" w:hAnsi="仿宋" w:eastAsia="仿宋" w:cs="仿宋"/>
          <w:b/>
          <w:szCs w:val="24"/>
        </w:rPr>
      </w:pPr>
      <w:r>
        <w:rPr>
          <w:rFonts w:hint="eastAsia" w:ascii="仿宋" w:hAnsi="仿宋" w:eastAsia="仿宋" w:cs="仿宋"/>
          <w:b/>
          <w:szCs w:val="24"/>
        </w:rPr>
        <w:t>评审办法</w:t>
      </w:r>
    </w:p>
    <w:tbl>
      <w:tblPr>
        <w:tblStyle w:val="20"/>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825"/>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kern w:val="2"/>
                <w:sz w:val="24"/>
                <w:szCs w:val="24"/>
              </w:rPr>
            </w:pPr>
            <w:r>
              <w:rPr>
                <w:rFonts w:hint="eastAsia" w:ascii="仿宋" w:hAnsi="仿宋" w:eastAsia="仿宋" w:cs="仿宋"/>
                <w:b/>
                <w:sz w:val="24"/>
                <w:szCs w:val="24"/>
              </w:rPr>
              <w:t>评分因素</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kern w:val="2"/>
                <w:sz w:val="24"/>
                <w:szCs w:val="24"/>
              </w:rPr>
            </w:pPr>
            <w:r>
              <w:rPr>
                <w:rFonts w:hint="eastAsia" w:ascii="仿宋" w:hAnsi="仿宋" w:eastAsia="仿宋" w:cs="仿宋"/>
                <w:b/>
                <w:sz w:val="24"/>
                <w:szCs w:val="24"/>
              </w:rPr>
              <w:t>分值</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kern w:val="2"/>
                <w:sz w:val="24"/>
                <w:szCs w:val="24"/>
              </w:rPr>
            </w:pPr>
            <w:r>
              <w:rPr>
                <w:rFonts w:hint="eastAsia" w:ascii="仿宋" w:hAnsi="仿宋" w:eastAsia="仿宋" w:cs="仿宋"/>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报价</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lang w:val="en-US" w:eastAsia="zh-CN"/>
              </w:rPr>
              <w:t>30</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kern w:val="2"/>
                <w:sz w:val="24"/>
                <w:szCs w:val="24"/>
              </w:rPr>
            </w:pPr>
            <w:r>
              <w:rPr>
                <w:rFonts w:hint="eastAsia" w:ascii="仿宋" w:hAnsi="仿宋" w:eastAsia="仿宋" w:cs="仿宋"/>
                <w:sz w:val="24"/>
                <w:szCs w:val="24"/>
              </w:rPr>
              <w:t>以满足磋商文件要求且最终报价最低的报价为评标基准价，其价格分为满分</w:t>
            </w:r>
            <w:r>
              <w:rPr>
                <w:rFonts w:hint="eastAsia" w:ascii="仿宋" w:hAnsi="仿宋" w:eastAsia="仿宋" w:cs="仿宋"/>
                <w:sz w:val="24"/>
                <w:szCs w:val="24"/>
                <w:lang w:val="en-US" w:eastAsia="zh-CN"/>
              </w:rPr>
              <w:t>3</w:t>
            </w:r>
            <w:r>
              <w:rPr>
                <w:rFonts w:hint="eastAsia" w:ascii="仿宋" w:hAnsi="仿宋" w:eastAsia="仿宋" w:cs="仿宋"/>
                <w:sz w:val="24"/>
                <w:szCs w:val="24"/>
              </w:rPr>
              <w:t>0分，其他供应商的价格分按照下列公式计算：报价得分=（评标基准价/最终报价）×</w:t>
            </w:r>
            <w:r>
              <w:rPr>
                <w:rFonts w:hint="eastAsia" w:ascii="仿宋" w:hAnsi="仿宋" w:eastAsia="仿宋" w:cs="仿宋"/>
                <w:sz w:val="24"/>
                <w:szCs w:val="24"/>
                <w:lang w:val="en-US" w:eastAsia="zh-CN"/>
              </w:rPr>
              <w:t>3</w:t>
            </w:r>
            <w:r>
              <w:rPr>
                <w:rFonts w:hint="eastAsia" w:ascii="仿宋" w:hAnsi="仿宋" w:eastAsia="仿宋" w:cs="仿宋"/>
                <w:sz w:val="24"/>
                <w:szCs w:val="24"/>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企业业绩</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8分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kern w:val="2"/>
                <w:sz w:val="24"/>
                <w:szCs w:val="24"/>
              </w:rPr>
            </w:pPr>
            <w:r>
              <w:rPr>
                <w:rFonts w:hint="eastAsia" w:ascii="仿宋" w:hAnsi="仿宋" w:eastAsia="仿宋" w:cs="仿宋"/>
                <w:sz w:val="24"/>
                <w:szCs w:val="24"/>
              </w:rPr>
              <w:t>自2016年1月1日以来已完成的同类项目业绩，每提供1份得1分，最多得8分（须提供合同原件，未提供原件不得分）。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工程保修期</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kern w:val="2"/>
                <w:sz w:val="24"/>
                <w:szCs w:val="24"/>
              </w:rPr>
            </w:pPr>
            <w:r>
              <w:rPr>
                <w:rFonts w:hint="eastAsia" w:ascii="仿宋" w:hAnsi="仿宋" w:eastAsia="仿宋" w:cs="仿宋"/>
                <w:sz w:val="24"/>
                <w:szCs w:val="24"/>
              </w:rPr>
              <w:t>工程保修期在满足磋商文件要求的基础上每延长一年的得1分，最多得</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施工材料</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20分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r>
              <w:rPr>
                <w:rFonts w:hint="eastAsia" w:ascii="仿宋" w:hAnsi="仿宋" w:eastAsia="仿宋" w:cs="仿宋"/>
                <w:sz w:val="24"/>
                <w:szCs w:val="24"/>
              </w:rPr>
              <w:t>1、根据工程材料品牌、产地、规格、型号标注的详细程度得0-2分；</w:t>
            </w:r>
          </w:p>
          <w:p>
            <w:pPr>
              <w:snapToGrid w:val="0"/>
              <w:rPr>
                <w:rFonts w:ascii="仿宋" w:hAnsi="仿宋" w:eastAsia="仿宋" w:cs="仿宋"/>
                <w:sz w:val="24"/>
                <w:szCs w:val="24"/>
              </w:rPr>
            </w:pPr>
            <w:r>
              <w:rPr>
                <w:rFonts w:hint="eastAsia" w:ascii="仿宋" w:hAnsi="仿宋" w:eastAsia="仿宋" w:cs="仿宋"/>
                <w:sz w:val="24"/>
                <w:szCs w:val="24"/>
              </w:rPr>
              <w:t>2、供应商拟投入本项目施工所用的材料是否符合采购人要求及国家环保要求,质量可靠，并附有关证明材料。响应要求并根据所报材料的品牌、质量等。</w:t>
            </w:r>
          </w:p>
          <w:p>
            <w:pPr>
              <w:pStyle w:val="19"/>
              <w:ind w:firstLine="0" w:firstLineChars="0"/>
              <w:rPr>
                <w:rFonts w:ascii="仿宋" w:hAnsi="仿宋" w:eastAsia="仿宋" w:cs="仿宋"/>
                <w:sz w:val="24"/>
                <w:szCs w:val="24"/>
              </w:rPr>
            </w:pPr>
            <w:r>
              <w:rPr>
                <w:rFonts w:hint="eastAsia" w:ascii="仿宋" w:hAnsi="仿宋" w:eastAsia="仿宋" w:cs="仿宋"/>
                <w:sz w:val="24"/>
                <w:szCs w:val="24"/>
              </w:rPr>
              <w:t>主设备</w:t>
            </w:r>
            <w:r>
              <w:rPr>
                <w:rFonts w:hint="eastAsia" w:ascii="仿宋" w:hAnsi="仿宋" w:eastAsia="仿宋" w:cs="仿宋"/>
                <w:sz w:val="24"/>
                <w:szCs w:val="24"/>
                <w:lang w:eastAsia="zh-CN"/>
              </w:rPr>
              <w:t>、</w:t>
            </w:r>
            <w:r>
              <w:rPr>
                <w:rFonts w:hint="eastAsia" w:ascii="仿宋" w:hAnsi="仿宋" w:eastAsia="仿宋" w:cs="仿宋"/>
                <w:sz w:val="24"/>
                <w:szCs w:val="24"/>
              </w:rPr>
              <w:t>材料质量优等，且所报材料的产地、生产厂家、品牌、性能参数、技术指标以及单价、合价、数量详尽清晰，便于采购单位进场验收10-13分；</w:t>
            </w:r>
          </w:p>
          <w:p>
            <w:pPr>
              <w:pStyle w:val="19"/>
              <w:ind w:firstLine="0" w:firstLineChars="0"/>
              <w:rPr>
                <w:rFonts w:ascii="仿宋" w:hAnsi="仿宋" w:eastAsia="仿宋" w:cs="仿宋"/>
                <w:sz w:val="24"/>
                <w:szCs w:val="24"/>
              </w:rPr>
            </w:pPr>
            <w:r>
              <w:rPr>
                <w:rFonts w:hint="eastAsia" w:ascii="仿宋" w:hAnsi="仿宋" w:eastAsia="仿宋" w:cs="仿宋"/>
                <w:sz w:val="24"/>
                <w:szCs w:val="24"/>
              </w:rPr>
              <w:t>主设备</w:t>
            </w:r>
            <w:r>
              <w:rPr>
                <w:rFonts w:hint="eastAsia" w:ascii="仿宋" w:hAnsi="仿宋" w:eastAsia="仿宋" w:cs="仿宋"/>
                <w:sz w:val="24"/>
                <w:szCs w:val="24"/>
                <w:lang w:eastAsia="zh-CN"/>
              </w:rPr>
              <w:t>、</w:t>
            </w:r>
            <w:r>
              <w:rPr>
                <w:rFonts w:hint="eastAsia" w:ascii="仿宋" w:hAnsi="仿宋" w:eastAsia="仿宋" w:cs="仿宋"/>
                <w:sz w:val="24"/>
                <w:szCs w:val="24"/>
              </w:rPr>
              <w:t>材料质量较好，且所报材料的产地、生产厂家、品牌、性能参数、技术指标以及单价、合价、数量基本详尽清晰，基本便于采购单位进场验收6-9分；</w:t>
            </w:r>
          </w:p>
          <w:p>
            <w:pPr>
              <w:pStyle w:val="19"/>
              <w:ind w:firstLine="0" w:firstLineChars="0"/>
              <w:rPr>
                <w:rFonts w:ascii="仿宋" w:hAnsi="仿宋" w:eastAsia="仿宋" w:cs="仿宋"/>
                <w:sz w:val="24"/>
                <w:szCs w:val="24"/>
              </w:rPr>
            </w:pPr>
            <w:r>
              <w:rPr>
                <w:rFonts w:hint="eastAsia" w:ascii="仿宋" w:hAnsi="仿宋" w:eastAsia="仿宋" w:cs="仿宋"/>
                <w:sz w:val="24"/>
                <w:szCs w:val="24"/>
              </w:rPr>
              <w:t>主设备</w:t>
            </w:r>
            <w:r>
              <w:rPr>
                <w:rFonts w:hint="eastAsia" w:ascii="仿宋" w:hAnsi="仿宋" w:eastAsia="仿宋" w:cs="仿宋"/>
                <w:sz w:val="24"/>
                <w:szCs w:val="24"/>
                <w:lang w:eastAsia="zh-CN"/>
              </w:rPr>
              <w:t>、</w:t>
            </w:r>
            <w:r>
              <w:rPr>
                <w:rFonts w:hint="eastAsia" w:ascii="仿宋" w:hAnsi="仿宋" w:eastAsia="仿宋" w:cs="仿宋"/>
                <w:sz w:val="24"/>
                <w:szCs w:val="24"/>
              </w:rPr>
              <w:t>材料质量较差，且所报材料的产地、生产厂家、品牌、性能参数、技术指标以及单价、合价、数量不够清晰明确，不便于采购单位进场验收1-5分。</w:t>
            </w:r>
          </w:p>
          <w:p>
            <w:pPr>
              <w:snapToGrid w:val="0"/>
              <w:rPr>
                <w:rFonts w:ascii="仿宋" w:hAnsi="仿宋" w:eastAsia="仿宋" w:cs="仿宋"/>
                <w:sz w:val="24"/>
                <w:szCs w:val="24"/>
              </w:rPr>
            </w:pPr>
            <w:r>
              <w:rPr>
                <w:rFonts w:hint="eastAsia" w:ascii="仿宋" w:hAnsi="仿宋" w:eastAsia="仿宋" w:cs="仿宋"/>
                <w:sz w:val="24"/>
                <w:szCs w:val="24"/>
              </w:rPr>
              <w:t>3、按照磋商文件要求提供样品的齐全程度及样品质量，得0-5分</w:t>
            </w:r>
          </w:p>
          <w:p>
            <w:pPr>
              <w:snapToGrid w:val="0"/>
              <w:rPr>
                <w:rFonts w:ascii="仿宋" w:hAnsi="仿宋" w:eastAsia="仿宋" w:cs="仿宋"/>
                <w:kern w:val="2"/>
                <w:sz w:val="24"/>
                <w:szCs w:val="24"/>
              </w:rPr>
            </w:pPr>
            <w:r>
              <w:rPr>
                <w:rFonts w:hint="eastAsia" w:ascii="仿宋" w:hAnsi="仿宋" w:eastAsia="仿宋" w:cs="仿宋"/>
                <w:sz w:val="24"/>
                <w:szCs w:val="24"/>
              </w:rPr>
              <w:t>如磋商文件中未要求提供样品，则本项得5分。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施工方案</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r>
              <w:rPr>
                <w:rFonts w:hint="eastAsia" w:ascii="仿宋" w:hAnsi="仿宋" w:eastAsia="仿宋" w:cs="仿宋"/>
                <w:sz w:val="24"/>
                <w:szCs w:val="24"/>
              </w:rPr>
              <w:t>1、施工方案先进及合理情况0-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napToGrid w:val="0"/>
              <w:rPr>
                <w:rFonts w:ascii="仿宋" w:hAnsi="仿宋" w:eastAsia="仿宋" w:cs="仿宋"/>
                <w:sz w:val="24"/>
                <w:szCs w:val="24"/>
              </w:rPr>
            </w:pPr>
            <w:r>
              <w:rPr>
                <w:rFonts w:hint="eastAsia" w:ascii="仿宋" w:hAnsi="仿宋" w:eastAsia="仿宋" w:cs="仿宋"/>
                <w:sz w:val="24"/>
                <w:szCs w:val="24"/>
              </w:rPr>
              <w:t>2、工序安排合理情况 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napToGrid w:val="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在</w:t>
            </w:r>
            <w:r>
              <w:rPr>
                <w:rFonts w:hint="eastAsia" w:ascii="仿宋" w:hAnsi="仿宋" w:eastAsia="仿宋" w:cs="仿宋"/>
                <w:sz w:val="24"/>
                <w:szCs w:val="24"/>
              </w:rPr>
              <w:t>工期进度及控制点设置（结合施工横道图）合理</w:t>
            </w:r>
            <w:r>
              <w:rPr>
                <w:rFonts w:hint="eastAsia" w:ascii="仿宋" w:hAnsi="仿宋" w:eastAsia="仿宋" w:cs="仿宋"/>
                <w:sz w:val="24"/>
                <w:szCs w:val="24"/>
                <w:lang w:eastAsia="zh-CN"/>
              </w:rPr>
              <w:t>的基础上</w:t>
            </w:r>
            <w:r>
              <w:rPr>
                <w:rFonts w:hint="eastAsia" w:ascii="仿宋" w:hAnsi="仿宋" w:eastAsia="仿宋" w:cs="仿宋"/>
                <w:sz w:val="24"/>
                <w:szCs w:val="24"/>
              </w:rPr>
              <w:t>,</w:t>
            </w:r>
            <w:r>
              <w:rPr>
                <w:rFonts w:hint="eastAsia" w:ascii="仿宋" w:hAnsi="仿宋" w:eastAsia="仿宋" w:cs="仿宋"/>
                <w:sz w:val="24"/>
                <w:szCs w:val="24"/>
                <w:lang w:eastAsia="zh-CN"/>
              </w:rPr>
              <w:t>视缩短工期的情况得</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napToGrid w:val="0"/>
              <w:rPr>
                <w:rFonts w:ascii="仿宋" w:hAnsi="仿宋" w:eastAsia="仿宋" w:cs="仿宋"/>
                <w:sz w:val="24"/>
                <w:szCs w:val="24"/>
              </w:rPr>
            </w:pPr>
            <w:r>
              <w:rPr>
                <w:rFonts w:hint="eastAsia" w:ascii="仿宋" w:hAnsi="仿宋" w:eastAsia="仿宋" w:cs="仿宋"/>
                <w:sz w:val="24"/>
                <w:szCs w:val="24"/>
              </w:rPr>
              <w:t>4、机械设备是否满足工程需要情况0-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napToGrid w:val="0"/>
              <w:rPr>
                <w:rFonts w:ascii="仿宋" w:hAnsi="仿宋" w:eastAsia="仿宋" w:cs="仿宋"/>
                <w:sz w:val="24"/>
                <w:szCs w:val="24"/>
              </w:rPr>
            </w:pPr>
            <w:r>
              <w:rPr>
                <w:rFonts w:hint="eastAsia" w:ascii="仿宋" w:hAnsi="仿宋" w:eastAsia="仿宋" w:cs="仿宋"/>
                <w:sz w:val="24"/>
                <w:szCs w:val="24"/>
              </w:rPr>
              <w:t>5、劳动力组织均衡情况0-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napToGrid w:val="0"/>
              <w:rPr>
                <w:rFonts w:ascii="仿宋" w:hAnsi="仿宋" w:eastAsia="仿宋" w:cs="仿宋"/>
                <w:kern w:val="2"/>
                <w:sz w:val="24"/>
                <w:szCs w:val="24"/>
              </w:rPr>
            </w:pPr>
            <w:r>
              <w:rPr>
                <w:rFonts w:hint="eastAsia" w:ascii="仿宋" w:hAnsi="仿宋" w:eastAsia="仿宋" w:cs="仿宋"/>
                <w:sz w:val="24"/>
                <w:szCs w:val="24"/>
              </w:rPr>
              <w:t>以上5项，磋商小组根据方案描述酌情打分。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质量保证措施</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kern w:val="2"/>
                <w:sz w:val="24"/>
                <w:szCs w:val="24"/>
              </w:rPr>
            </w:pPr>
            <w:r>
              <w:rPr>
                <w:rFonts w:hint="eastAsia" w:ascii="仿宋" w:hAnsi="仿宋" w:eastAsia="仿宋" w:cs="仿宋"/>
                <w:sz w:val="24"/>
                <w:szCs w:val="24"/>
                <w:lang w:eastAsia="zh-CN"/>
              </w:rPr>
              <w:t>根据</w:t>
            </w:r>
            <w:r>
              <w:rPr>
                <w:rFonts w:hint="eastAsia" w:ascii="仿宋" w:hAnsi="仿宋" w:eastAsia="仿宋" w:cs="仿宋"/>
                <w:sz w:val="24"/>
                <w:szCs w:val="24"/>
              </w:rPr>
              <w:t>质量保证措施、隐蔽工程验收方法、提供</w:t>
            </w:r>
            <w:r>
              <w:rPr>
                <w:rFonts w:hint="eastAsia" w:ascii="仿宋" w:hAnsi="仿宋" w:eastAsia="仿宋" w:cs="仿宋"/>
                <w:sz w:val="24"/>
                <w:szCs w:val="24"/>
                <w:lang w:eastAsia="zh-CN"/>
              </w:rPr>
              <w:t>施工及验收</w:t>
            </w:r>
            <w:r>
              <w:rPr>
                <w:rFonts w:hint="eastAsia" w:ascii="仿宋" w:hAnsi="仿宋" w:eastAsia="仿宋" w:cs="仿宋"/>
                <w:sz w:val="24"/>
                <w:szCs w:val="24"/>
              </w:rPr>
              <w:t>信息</w:t>
            </w:r>
            <w:r>
              <w:rPr>
                <w:rFonts w:hint="eastAsia" w:ascii="仿宋" w:hAnsi="仿宋" w:eastAsia="仿宋" w:cs="仿宋"/>
                <w:sz w:val="24"/>
                <w:szCs w:val="24"/>
                <w:lang w:eastAsia="zh-CN"/>
              </w:rPr>
              <w:t>等方案以便于</w:t>
            </w:r>
            <w:r>
              <w:rPr>
                <w:rFonts w:hint="eastAsia" w:ascii="仿宋" w:hAnsi="仿宋" w:eastAsia="仿宋" w:cs="仿宋"/>
                <w:sz w:val="24"/>
                <w:szCs w:val="24"/>
              </w:rPr>
              <w:t>甲方监督等</w:t>
            </w:r>
            <w:r>
              <w:rPr>
                <w:rFonts w:hint="eastAsia" w:ascii="仿宋" w:hAnsi="仿宋" w:eastAsia="仿宋" w:cs="仿宋"/>
                <w:sz w:val="24"/>
                <w:szCs w:val="24"/>
                <w:lang w:eastAsia="zh-CN"/>
              </w:rPr>
              <w:t>内容</w:t>
            </w:r>
            <w:r>
              <w:rPr>
                <w:rFonts w:hint="eastAsia" w:ascii="仿宋" w:hAnsi="仿宋" w:eastAsia="仿宋" w:cs="仿宋"/>
                <w:sz w:val="24"/>
                <w:szCs w:val="24"/>
              </w:rPr>
              <w:t>进行评分，酌情得0-</w:t>
            </w:r>
            <w:r>
              <w:rPr>
                <w:rFonts w:hint="eastAsia" w:ascii="仿宋" w:hAnsi="仿宋" w:eastAsia="仿宋" w:cs="仿宋"/>
                <w:sz w:val="24"/>
                <w:szCs w:val="24"/>
                <w:lang w:val="en-US" w:eastAsia="zh-CN"/>
              </w:rPr>
              <w:t>7</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安全文明施工</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r>
              <w:rPr>
                <w:rFonts w:hint="eastAsia" w:ascii="仿宋" w:hAnsi="仿宋" w:eastAsia="仿宋" w:cs="仿宋"/>
                <w:sz w:val="24"/>
                <w:szCs w:val="24"/>
              </w:rPr>
              <w:t>1、现场安全生产措施酌情得0-2分；</w:t>
            </w:r>
          </w:p>
          <w:p>
            <w:pPr>
              <w:snapToGrid w:val="0"/>
              <w:rPr>
                <w:rFonts w:ascii="仿宋" w:hAnsi="仿宋" w:eastAsia="仿宋" w:cs="仿宋"/>
                <w:kern w:val="2"/>
                <w:sz w:val="24"/>
                <w:szCs w:val="24"/>
              </w:rPr>
            </w:pPr>
            <w:r>
              <w:rPr>
                <w:rFonts w:hint="eastAsia" w:ascii="仿宋" w:hAnsi="仿宋" w:eastAsia="仿宋" w:cs="仿宋"/>
                <w:sz w:val="24"/>
                <w:szCs w:val="24"/>
              </w:rPr>
              <w:t>2、现场文明施工措施酌情得0-2分。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服务承诺</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r>
              <w:rPr>
                <w:rFonts w:hint="eastAsia" w:ascii="仿宋" w:hAnsi="仿宋" w:eastAsia="仿宋" w:cs="仿宋"/>
                <w:sz w:val="24"/>
                <w:szCs w:val="24"/>
              </w:rPr>
              <w:t>1、根据服务承诺的内容和保障措施优劣酌情得0-2分</w:t>
            </w:r>
          </w:p>
          <w:p>
            <w:pPr>
              <w:snapToGrid w:val="0"/>
              <w:rPr>
                <w:rFonts w:ascii="仿宋" w:hAnsi="仿宋" w:eastAsia="仿宋" w:cs="仿宋"/>
                <w:kern w:val="2"/>
                <w:sz w:val="24"/>
                <w:szCs w:val="24"/>
              </w:rPr>
            </w:pPr>
            <w:r>
              <w:rPr>
                <w:rFonts w:hint="eastAsia" w:ascii="仿宋" w:hAnsi="仿宋" w:eastAsia="仿宋" w:cs="仿宋"/>
                <w:sz w:val="24"/>
                <w:szCs w:val="24"/>
              </w:rPr>
              <w:t>2、综合考虑供应商售后服务响应时间、服务体系、交货、运输、安装调试等内容，酌情得0-2分。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响应文件内容及询标答疑</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2"/>
                <w:sz w:val="24"/>
                <w:szCs w:val="24"/>
              </w:rPr>
            </w:pPr>
            <w:r>
              <w:rPr>
                <w:rFonts w:hint="eastAsia" w:ascii="仿宋" w:hAnsi="仿宋" w:eastAsia="仿宋" w:cs="仿宋"/>
                <w:sz w:val="24"/>
                <w:szCs w:val="24"/>
              </w:rPr>
              <w:t>2分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kern w:val="0"/>
                <w:sz w:val="24"/>
                <w:szCs w:val="24"/>
              </w:rPr>
            </w:pPr>
            <w:r>
              <w:rPr>
                <w:rFonts w:hint="eastAsia" w:ascii="仿宋" w:hAnsi="仿宋" w:eastAsia="仿宋" w:cs="仿宋"/>
                <w:sz w:val="24"/>
                <w:szCs w:val="24"/>
              </w:rPr>
              <w:t>根据响应文件提供资料是否齐全，文字是否清晰，描述是否准确，询标答疑过程对磋商小组提出需澄清确认的问题答复是否完整、准确酌情得0-2分。</w:t>
            </w:r>
          </w:p>
        </w:tc>
      </w:tr>
    </w:tbl>
    <w:p>
      <w:pPr>
        <w:spacing w:line="360" w:lineRule="auto"/>
        <w:rPr>
          <w:rFonts w:ascii="仿宋" w:hAnsi="仿宋" w:eastAsia="仿宋"/>
          <w:sz w:val="24"/>
          <w:szCs w:val="24"/>
        </w:rPr>
      </w:pPr>
      <w:r>
        <w:rPr>
          <w:rFonts w:hint="eastAsia" w:ascii="仿宋" w:hAnsi="仿宋" w:eastAsia="仿宋"/>
          <w:sz w:val="24"/>
          <w:szCs w:val="24"/>
        </w:rPr>
        <w:t>说明：</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）供应商所提供的材料或者填写的内容必须真实、可靠，如有虚假或隐瞒，一经查实将导致投标被拒绝，并按照</w:t>
      </w:r>
      <w:r>
        <w:rPr>
          <w:rFonts w:hint="eastAsia" w:ascii="仿宋" w:hAnsi="仿宋" w:eastAsia="仿宋"/>
          <w:sz w:val="24"/>
          <w:szCs w:val="24"/>
          <w:lang w:eastAsia="zh-CN"/>
        </w:rPr>
        <w:t>相关法律</w:t>
      </w:r>
      <w:r>
        <w:rPr>
          <w:rFonts w:hint="eastAsia" w:ascii="仿宋" w:hAnsi="仿宋" w:eastAsia="仿宋"/>
          <w:sz w:val="24"/>
          <w:szCs w:val="24"/>
        </w:rPr>
        <w:t>进行处罚，给采购人造成损失的应承担赔偿责任。</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）以上评标标准中要求供应商提交相关证明材料原件（或复印件）的，未装订在响应文件中的不得分。</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）供应商以联合体的身份参与采购项目的，以商务部分加分最多的一家供应商的加分为商务部分的加分。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1.给予小型和微型企业价格扣除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给予小型和微型企业（包括相互之间组成的联合体）产品的价格6</w:t>
      </w:r>
      <w:r>
        <w:rPr>
          <w:rFonts w:ascii="仿宋" w:hAnsi="仿宋" w:eastAsia="仿宋"/>
          <w:sz w:val="24"/>
          <w:szCs w:val="24"/>
        </w:rPr>
        <w:t>%</w:t>
      </w:r>
      <w:r>
        <w:rPr>
          <w:rFonts w:hint="eastAsia" w:ascii="仿宋" w:hAnsi="仿宋" w:eastAsia="仿宋"/>
          <w:sz w:val="24"/>
          <w:szCs w:val="24"/>
        </w:rPr>
        <w:t>的扣除；计算方法是：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w:t>
      </w: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，按照最终价格计算其价格分得分。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开标时，供应商须提供《中小企业声明函》原件并对声明函的真实性负责，否则不给予价格扣除。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大中型企业和其他自然人、法人或者其他组织与小型、微型企业组成联合体投标，联合协议中约定，小型、微型企业的协议合同金额占到联合体协议合同金额</w:t>
      </w:r>
      <w:r>
        <w:rPr>
          <w:rFonts w:ascii="仿宋" w:hAnsi="仿宋" w:eastAsia="仿宋"/>
          <w:sz w:val="24"/>
          <w:szCs w:val="24"/>
        </w:rPr>
        <w:t>30%</w:t>
      </w:r>
      <w:r>
        <w:rPr>
          <w:rFonts w:hint="eastAsia" w:ascii="仿宋" w:hAnsi="仿宋" w:eastAsia="仿宋"/>
          <w:sz w:val="24"/>
          <w:szCs w:val="24"/>
        </w:rPr>
        <w:t>以上的，可给予联合体</w:t>
      </w:r>
      <w:r>
        <w:rPr>
          <w:rFonts w:ascii="仿宋" w:hAnsi="仿宋" w:eastAsia="仿宋"/>
          <w:sz w:val="24"/>
          <w:szCs w:val="24"/>
        </w:rPr>
        <w:t>3%</w:t>
      </w:r>
      <w:r>
        <w:rPr>
          <w:rFonts w:hint="eastAsia" w:ascii="仿宋" w:hAnsi="仿宋" w:eastAsia="仿宋"/>
          <w:sz w:val="24"/>
          <w:szCs w:val="24"/>
        </w:rPr>
        <w:t>的价格扣除。计算方法是：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97%</w:t>
      </w:r>
      <w:r>
        <w:rPr>
          <w:rFonts w:hint="eastAsia" w:ascii="仿宋" w:hAnsi="仿宋" w:eastAsia="仿宋"/>
          <w:sz w:val="24"/>
          <w:szCs w:val="24"/>
        </w:rPr>
        <w:t>，按照最终价格计算其价格分得分。</w:t>
      </w:r>
    </w:p>
    <w:p>
      <w:pPr>
        <w:spacing w:line="360" w:lineRule="auto"/>
        <w:rPr>
          <w:rFonts w:ascii="仿宋" w:hAnsi="仿宋" w:eastAsia="仿宋" w:cs="仿宋"/>
          <w:sz w:val="24"/>
          <w:szCs w:val="24"/>
        </w:rPr>
        <w:sectPr>
          <w:headerReference r:id="rId3" w:type="default"/>
          <w:footerReference r:id="rId4" w:type="default"/>
          <w:pgSz w:w="11907" w:h="16840"/>
          <w:pgMar w:top="1702" w:right="1418" w:bottom="1247" w:left="1622" w:header="567" w:footer="851" w:gutter="0"/>
          <w:cols w:space="720" w:num="1"/>
          <w:docGrid w:linePitch="381" w:charSpace="-3931"/>
        </w:sectPr>
      </w:pPr>
      <w:r>
        <w:rPr>
          <w:rFonts w:hint="eastAsia" w:ascii="仿宋" w:hAnsi="仿宋" w:eastAsia="仿宋"/>
          <w:sz w:val="24"/>
          <w:szCs w:val="24"/>
        </w:rPr>
        <w:t>开标时，供应商须提供《中小企业声明函》原件并对声明函的真实性负责和联合体协议原件。</w:t>
      </w:r>
    </w:p>
    <w:p>
      <w:pPr>
        <w:pStyle w:val="3"/>
        <w:pageBreakBefore/>
        <w:spacing w:before="0" w:after="0" w:line="480" w:lineRule="exact"/>
        <w:jc w:val="center"/>
        <w:rPr>
          <w:rFonts w:ascii="仿宋" w:hAnsi="仿宋" w:eastAsia="仿宋" w:cs="仿宋"/>
          <w:b w:val="0"/>
        </w:rPr>
      </w:pPr>
      <w:bookmarkStart w:id="50" w:name="_Toc26692"/>
      <w:r>
        <w:rPr>
          <w:rFonts w:hint="eastAsia" w:ascii="仿宋" w:hAnsi="仿宋" w:eastAsia="仿宋" w:cs="仿宋"/>
          <w:b w:val="0"/>
        </w:rPr>
        <w:t>第七章  响应文件格式</w:t>
      </w:r>
      <w:bookmarkEnd w:id="50"/>
    </w:p>
    <w:p>
      <w:pPr>
        <w:spacing w:line="480" w:lineRule="exact"/>
        <w:jc w:val="left"/>
        <w:rPr>
          <w:rFonts w:ascii="仿宋" w:hAnsi="仿宋" w:eastAsia="仿宋" w:cs="仿宋"/>
          <w:sz w:val="24"/>
          <w:szCs w:val="24"/>
        </w:rPr>
      </w:pPr>
      <w:r>
        <w:rPr>
          <w:rFonts w:hint="eastAsia" w:ascii="仿宋" w:hAnsi="仿宋" w:eastAsia="仿宋" w:cs="仿宋"/>
          <w:sz w:val="24"/>
          <w:szCs w:val="24"/>
        </w:rPr>
        <w:t>附件1：</w:t>
      </w:r>
    </w:p>
    <w:p>
      <w:pPr>
        <w:spacing w:before="100" w:beforeAutospacing="1" w:after="100" w:afterAutospacing="1" w:line="440" w:lineRule="exact"/>
        <w:jc w:val="center"/>
        <w:rPr>
          <w:rFonts w:ascii="仿宋" w:hAnsi="仿宋" w:eastAsia="仿宋" w:cs="仿宋"/>
          <w:szCs w:val="28"/>
        </w:rPr>
      </w:pPr>
      <w:r>
        <w:rPr>
          <w:rFonts w:hint="eastAsia" w:ascii="仿宋" w:hAnsi="仿宋" w:eastAsia="仿宋" w:cs="仿宋"/>
          <w:szCs w:val="28"/>
        </w:rPr>
        <w:t>在经营活动中没有重大违法记录的书面声明</w:t>
      </w:r>
    </w:p>
    <w:p>
      <w:pPr>
        <w:spacing w:line="440" w:lineRule="exact"/>
        <w:jc w:val="center"/>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我方在参加（项目名称）采购活动前3年内，我方被公开披露或查处的违法违规行为有：，但在经营活动中没有重大违法记录（重大违法记录指</w:t>
      </w:r>
      <w:r>
        <w:rPr>
          <w:rFonts w:hint="eastAsia" w:ascii="仿宋" w:hAnsi="仿宋" w:eastAsia="仿宋" w:cs="仿宋"/>
          <w:kern w:val="0"/>
          <w:sz w:val="24"/>
          <w:szCs w:val="24"/>
        </w:rPr>
        <w:t>供应商因违法经营受到刑事处罚或者责令停产停业、吊销许可证或者执照、较大数额罚款等行政处罚）</w:t>
      </w:r>
      <w:r>
        <w:rPr>
          <w:rFonts w:hint="eastAsia" w:ascii="仿宋" w:hAnsi="仿宋" w:eastAsia="仿宋" w:cs="仿宋"/>
          <w:sz w:val="24"/>
          <w:szCs w:val="24"/>
        </w:rPr>
        <w:t>。</w:t>
      </w: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lang w:eastAsia="zh-CN"/>
        </w:rPr>
        <w:t>供</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商</w:t>
      </w:r>
      <w:r>
        <w:rPr>
          <w:rFonts w:hint="eastAsia" w:ascii="仿宋" w:hAnsi="仿宋" w:eastAsia="仿宋" w:cs="仿宋"/>
          <w:sz w:val="24"/>
          <w:szCs w:val="24"/>
        </w:rPr>
        <w:t>：（盖单位公章）</w:t>
      </w: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法定代表人：（签字或盖章）</w:t>
      </w: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日      期：年月日</w:t>
      </w: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备注：供应商没有被公开披露或查处违法违规行为的，注明“无”即可。</w:t>
      </w:r>
    </w:p>
    <w:p>
      <w:pPr>
        <w:widowControl/>
        <w:suppressAutoHyphens w:val="0"/>
        <w:jc w:val="left"/>
        <w:rPr>
          <w:rFonts w:ascii="仿宋" w:hAnsi="仿宋" w:eastAsia="仿宋" w:cs="仿宋"/>
          <w:sz w:val="24"/>
          <w:szCs w:val="24"/>
        </w:rPr>
      </w:pPr>
      <w:r>
        <w:rPr>
          <w:rFonts w:hint="eastAsia" w:ascii="仿宋" w:hAnsi="仿宋" w:eastAsia="仿宋" w:cs="仿宋"/>
          <w:sz w:val="24"/>
          <w:szCs w:val="24"/>
        </w:rPr>
        <w:br w:type="page"/>
      </w:r>
    </w:p>
    <w:p>
      <w:pPr>
        <w:widowControl/>
        <w:autoSpaceDE w:val="0"/>
        <w:autoSpaceDN w:val="0"/>
        <w:adjustRightInd w:val="0"/>
        <w:spacing w:line="440" w:lineRule="exact"/>
        <w:rPr>
          <w:rStyle w:val="49"/>
          <w:rFonts w:cs="仿宋"/>
          <w:sz w:val="24"/>
          <w:szCs w:val="24"/>
        </w:rPr>
      </w:pPr>
      <w:r>
        <w:rPr>
          <w:rStyle w:val="49"/>
          <w:rFonts w:hint="eastAsia" w:cs="仿宋"/>
          <w:sz w:val="24"/>
          <w:szCs w:val="24"/>
        </w:rPr>
        <w:t>附件2：</w:t>
      </w:r>
    </w:p>
    <w:p>
      <w:pPr>
        <w:widowControl/>
        <w:autoSpaceDE w:val="0"/>
        <w:autoSpaceDN w:val="0"/>
        <w:adjustRightInd w:val="0"/>
        <w:spacing w:line="440" w:lineRule="exact"/>
        <w:jc w:val="center"/>
        <w:rPr>
          <w:rFonts w:ascii="仿宋" w:hAnsi="仿宋" w:eastAsia="仿宋" w:cs="仿宋"/>
          <w:szCs w:val="28"/>
        </w:rPr>
      </w:pPr>
      <w:r>
        <w:rPr>
          <w:rFonts w:hint="eastAsia" w:ascii="仿宋" w:hAnsi="仿宋" w:eastAsia="仿宋" w:cs="仿宋"/>
          <w:szCs w:val="28"/>
        </w:rPr>
        <w:t>采购诚信承诺书</w:t>
      </w:r>
    </w:p>
    <w:p>
      <w:pPr>
        <w:widowControl/>
        <w:autoSpaceDE w:val="0"/>
        <w:autoSpaceDN w:val="0"/>
        <w:adjustRightInd w:val="0"/>
        <w:spacing w:line="440" w:lineRule="exact"/>
        <w:rPr>
          <w:rFonts w:ascii="仿宋" w:hAnsi="仿宋" w:eastAsia="仿宋" w:cs="仿宋"/>
          <w:bCs/>
          <w:sz w:val="24"/>
          <w:szCs w:val="24"/>
        </w:rPr>
      </w:pPr>
    </w:p>
    <w:p>
      <w:pPr>
        <w:widowControl/>
        <w:autoSpaceDE w:val="0"/>
        <w:autoSpaceDN w:val="0"/>
        <w:adjustRightInd w:val="0"/>
        <w:spacing w:line="440" w:lineRule="exact"/>
        <w:rPr>
          <w:rFonts w:ascii="仿宋" w:hAnsi="仿宋" w:eastAsia="仿宋" w:cs="仿宋"/>
          <w:sz w:val="24"/>
          <w:szCs w:val="24"/>
        </w:rPr>
      </w:pPr>
      <w:r>
        <w:rPr>
          <w:rFonts w:hint="eastAsia" w:ascii="仿宋" w:hAnsi="仿宋" w:eastAsia="仿宋" w:cs="仿宋"/>
          <w:sz w:val="24"/>
          <w:szCs w:val="24"/>
          <w:u w:val="single"/>
        </w:rPr>
        <w:t>（采购人）</w:t>
      </w:r>
      <w:r>
        <w:rPr>
          <w:rFonts w:hint="eastAsia" w:ascii="仿宋" w:hAnsi="仿宋" w:eastAsia="仿宋" w:cs="仿宋"/>
          <w:sz w:val="24"/>
          <w:szCs w:val="24"/>
        </w:rPr>
        <w:t>，</w:t>
      </w:r>
      <w:r>
        <w:rPr>
          <w:rFonts w:hint="eastAsia" w:ascii="仿宋" w:hAnsi="仿宋" w:eastAsia="仿宋" w:cs="仿宋"/>
          <w:sz w:val="24"/>
          <w:szCs w:val="24"/>
          <w:u w:val="single"/>
        </w:rPr>
        <w:t>（采购代理机构）</w:t>
      </w:r>
      <w:r>
        <w:rPr>
          <w:rFonts w:hint="eastAsia" w:ascii="仿宋" w:hAnsi="仿宋" w:eastAsia="仿宋" w:cs="仿宋"/>
          <w:sz w:val="24"/>
          <w:szCs w:val="24"/>
        </w:rPr>
        <w:t>：</w:t>
      </w:r>
    </w:p>
    <w:p>
      <w:pPr>
        <w:widowControl/>
        <w:autoSpaceDE w:val="0"/>
        <w:autoSpaceDN w:val="0"/>
        <w:adjustRightInd w:val="0"/>
        <w:spacing w:line="440" w:lineRule="exact"/>
        <w:ind w:firstLine="480"/>
        <w:rPr>
          <w:rFonts w:ascii="仿宋" w:hAnsi="仿宋" w:eastAsia="仿宋" w:cs="仿宋"/>
          <w:sz w:val="24"/>
          <w:szCs w:val="24"/>
        </w:rPr>
      </w:pPr>
      <w:r>
        <w:rPr>
          <w:rStyle w:val="49"/>
          <w:rFonts w:hint="eastAsia" w:cs="仿宋"/>
          <w:sz w:val="24"/>
          <w:szCs w:val="24"/>
        </w:rPr>
        <w:t>我公司（供应商名称）已详细阅读了项目（项目编号：）磋商文件，自愿参加本次投标，现就有关事项做出郑重承诺如下：</w:t>
      </w:r>
    </w:p>
    <w:p>
      <w:pPr>
        <w:widowControl/>
        <w:autoSpaceDE w:val="0"/>
        <w:autoSpaceDN w:val="0"/>
        <w:adjustRightInd w:val="0"/>
        <w:spacing w:line="440" w:lineRule="exact"/>
        <w:ind w:firstLine="480"/>
        <w:rPr>
          <w:rStyle w:val="49"/>
          <w:rFonts w:cs="仿宋"/>
          <w:sz w:val="24"/>
          <w:szCs w:val="24"/>
        </w:rPr>
      </w:pPr>
      <w:r>
        <w:rPr>
          <w:rStyle w:val="49"/>
          <w:rFonts w:hint="eastAsia" w:cs="仿宋"/>
          <w:sz w:val="24"/>
          <w:szCs w:val="24"/>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cs="仿宋"/>
          <w:sz w:val="24"/>
          <w:szCs w:val="24"/>
        </w:rPr>
      </w:pPr>
      <w:r>
        <w:rPr>
          <w:rStyle w:val="49"/>
          <w:rFonts w:hint="eastAsia" w:cs="仿宋"/>
          <w:sz w:val="24"/>
          <w:szCs w:val="24"/>
        </w:rPr>
        <w:t>二、遵纪守法，公平竞争。不与其他供应商相互串通、</w:t>
      </w:r>
      <w:r>
        <w:rPr>
          <w:rFonts w:hint="eastAsia" w:ascii="仿宋" w:hAnsi="仿宋" w:eastAsia="仿宋" w:cs="仿宋"/>
          <w:kern w:val="0"/>
          <w:sz w:val="24"/>
          <w:szCs w:val="24"/>
        </w:rPr>
        <w:t>哄抬价格，</w:t>
      </w:r>
      <w:r>
        <w:rPr>
          <w:rStyle w:val="49"/>
          <w:rFonts w:hint="eastAsia" w:cs="仿宋"/>
          <w:sz w:val="24"/>
          <w:szCs w:val="24"/>
        </w:rPr>
        <w:t>不排挤其他供应商，不损害采购人的合法权益；不向评标委员会、采购人提供利益以牟取中标。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cs="仿宋"/>
          <w:sz w:val="24"/>
          <w:szCs w:val="24"/>
        </w:rPr>
      </w:pPr>
      <w:r>
        <w:rPr>
          <w:rFonts w:hint="eastAsia" w:ascii="仿宋" w:hAnsi="仿宋" w:eastAsia="仿宋" w:cs="仿宋"/>
          <w:kern w:val="0"/>
          <w:sz w:val="24"/>
          <w:szCs w:val="24"/>
        </w:rPr>
        <w:t>三、若中标后，将按照规定及时与采购人签订采购合同，不与采购人订立有悖于采购结果的合同或协议；严格履行采购合同，不降低合同约定的产品质量和服务，不擅自变更、中止、终止合同，或者拒绝履行合同义务；</w:t>
      </w:r>
    </w:p>
    <w:p>
      <w:pPr>
        <w:widowControl/>
        <w:autoSpaceDE w:val="0"/>
        <w:autoSpaceDN w:val="0"/>
        <w:adjustRightInd w:val="0"/>
        <w:spacing w:line="440" w:lineRule="exact"/>
        <w:ind w:right="-481" w:firstLine="420"/>
        <w:rPr>
          <w:rFonts w:ascii="仿宋" w:hAnsi="仿宋" w:eastAsia="仿宋" w:cs="仿宋"/>
          <w:sz w:val="24"/>
          <w:szCs w:val="24"/>
        </w:rPr>
      </w:pPr>
      <w:r>
        <w:rPr>
          <w:rStyle w:val="49"/>
          <w:rFonts w:hint="eastAsia" w:cs="仿宋"/>
          <w:sz w:val="24"/>
          <w:szCs w:val="24"/>
        </w:rPr>
        <w:t>若有违反以上承诺内容的行为，我公司自愿接受取消投标资格、记入信用档案、没收投标保证金、媒体通报；如已中标的，自动放弃中标资格，并承担全部法律责任；给采购人造成损失的，依法承担赔偿责任。</w:t>
      </w: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jc w:val="center"/>
        <w:rPr>
          <w:rStyle w:val="49"/>
          <w:rFonts w:cs="仿宋"/>
          <w:sz w:val="24"/>
          <w:szCs w:val="24"/>
        </w:rPr>
      </w:pPr>
      <w:r>
        <w:rPr>
          <w:rStyle w:val="49"/>
          <w:rFonts w:hint="eastAsia" w:cs="仿宋"/>
          <w:sz w:val="24"/>
          <w:szCs w:val="24"/>
        </w:rPr>
        <w:t>供应商名称(盖公章)：</w:t>
      </w:r>
    </w:p>
    <w:p>
      <w:pPr>
        <w:widowControl/>
        <w:autoSpaceDE w:val="0"/>
        <w:autoSpaceDN w:val="0"/>
        <w:adjustRightInd w:val="0"/>
        <w:spacing w:line="440" w:lineRule="exact"/>
        <w:ind w:right="-481"/>
        <w:jc w:val="center"/>
        <w:rPr>
          <w:rStyle w:val="49"/>
          <w:rFonts w:cs="仿宋"/>
          <w:sz w:val="24"/>
          <w:szCs w:val="24"/>
        </w:rPr>
      </w:pPr>
      <w:r>
        <w:rPr>
          <w:rStyle w:val="49"/>
          <w:rFonts w:hint="eastAsia" w:cs="仿宋"/>
          <w:sz w:val="24"/>
          <w:szCs w:val="24"/>
        </w:rPr>
        <w:t>法定代表人（签字）：</w:t>
      </w:r>
    </w:p>
    <w:p>
      <w:pPr>
        <w:widowControl/>
        <w:autoSpaceDE w:val="0"/>
        <w:autoSpaceDN w:val="0"/>
        <w:adjustRightInd w:val="0"/>
        <w:spacing w:line="440" w:lineRule="exact"/>
        <w:ind w:right="-481" w:firstLine="720"/>
        <w:jc w:val="center"/>
        <w:rPr>
          <w:rStyle w:val="49"/>
          <w:rFonts w:cs="仿宋"/>
          <w:sz w:val="24"/>
          <w:szCs w:val="24"/>
        </w:rPr>
      </w:pPr>
      <w:r>
        <w:rPr>
          <w:rStyle w:val="49"/>
          <w:rFonts w:hint="eastAsia" w:cs="仿宋"/>
          <w:sz w:val="24"/>
          <w:szCs w:val="24"/>
        </w:rPr>
        <w:t>年月日</w:t>
      </w:r>
    </w:p>
    <w:p>
      <w:pPr>
        <w:snapToGrid w:val="0"/>
        <w:spacing w:line="360" w:lineRule="auto"/>
        <w:rPr>
          <w:rFonts w:ascii="仿宋" w:hAnsi="仿宋" w:eastAsia="仿宋" w:cs="仿宋"/>
          <w:sz w:val="24"/>
          <w:szCs w:val="24"/>
        </w:rPr>
      </w:pPr>
    </w:p>
    <w:p>
      <w:pPr>
        <w:widowControl/>
        <w:suppressAutoHyphens w:val="0"/>
        <w:jc w:val="left"/>
        <w:rPr>
          <w:rFonts w:ascii="仿宋" w:hAnsi="仿宋" w:eastAsia="仿宋" w:cs="仿宋"/>
          <w:sz w:val="24"/>
          <w:szCs w:val="24"/>
        </w:rPr>
      </w:pPr>
      <w:r>
        <w:rPr>
          <w:rFonts w:hint="eastAsia" w:ascii="仿宋" w:hAnsi="仿宋" w:eastAsia="仿宋" w:cs="仿宋"/>
          <w:sz w:val="24"/>
          <w:szCs w:val="24"/>
        </w:rPr>
        <w:br w:type="page"/>
      </w:r>
    </w:p>
    <w:p>
      <w:pPr>
        <w:snapToGrid w:val="0"/>
        <w:spacing w:line="360" w:lineRule="auto"/>
        <w:jc w:val="center"/>
        <w:rPr>
          <w:rFonts w:ascii="仿宋" w:hAnsi="仿宋" w:eastAsia="仿宋" w:cs="仿宋"/>
        </w:rPr>
      </w:pPr>
      <w:r>
        <w:rPr>
          <w:rFonts w:hint="eastAsia" w:ascii="仿宋" w:hAnsi="仿宋" w:eastAsia="仿宋" w:cs="仿宋"/>
          <w:sz w:val="24"/>
          <w:szCs w:val="24"/>
        </w:rPr>
        <w:t>勘察现场登记表</w:t>
      </w:r>
    </w:p>
    <w:p>
      <w:pPr>
        <w:spacing w:line="360" w:lineRule="auto"/>
        <w:rPr>
          <w:rFonts w:ascii="仿宋" w:hAnsi="仿宋" w:eastAsia="仿宋" w:cs="仿宋"/>
        </w:rPr>
      </w:pPr>
      <w:r>
        <w:rPr>
          <w:rFonts w:hint="eastAsia" w:ascii="仿宋" w:hAnsi="仿宋" w:eastAsia="仿宋" w:cs="仿宋"/>
          <w:sz w:val="24"/>
          <w:szCs w:val="24"/>
        </w:rPr>
        <w:t xml:space="preserve">                                                     年   月   日</w:t>
      </w:r>
    </w:p>
    <w:tbl>
      <w:tblPr>
        <w:tblStyle w:val="20"/>
        <w:tblW w:w="8533" w:type="dxa"/>
        <w:tblInd w:w="-5" w:type="dxa"/>
        <w:tblLayout w:type="fixed"/>
        <w:tblCellMar>
          <w:top w:w="0" w:type="dxa"/>
          <w:left w:w="108" w:type="dxa"/>
          <w:bottom w:w="0" w:type="dxa"/>
          <w:right w:w="108" w:type="dxa"/>
        </w:tblCellMar>
      </w:tblPr>
      <w:tblGrid>
        <w:gridCol w:w="3917"/>
        <w:gridCol w:w="4616"/>
      </w:tblGrid>
      <w:tr>
        <w:tblPrEx>
          <w:tblCellMar>
            <w:top w:w="0" w:type="dxa"/>
            <w:left w:w="108" w:type="dxa"/>
            <w:bottom w:w="0" w:type="dxa"/>
            <w:right w:w="108" w:type="dxa"/>
          </w:tblCellMar>
        </w:tblPrEx>
        <w:trPr>
          <w:trHeight w:val="858"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960"/>
              </w:tabs>
              <w:spacing w:line="360" w:lineRule="auto"/>
              <w:rPr>
                <w:rFonts w:ascii="仿宋" w:hAnsi="仿宋" w:eastAsia="仿宋" w:cs="仿宋"/>
              </w:rPr>
            </w:pPr>
            <w:r>
              <w:rPr>
                <w:rFonts w:hint="eastAsia" w:ascii="仿宋" w:hAnsi="仿宋" w:eastAsia="仿宋" w:cs="仿宋"/>
                <w:sz w:val="24"/>
                <w:szCs w:val="24"/>
              </w:rPr>
              <w:t>项目名称：</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项目编号：</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项目包号：</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勘察地点：</w:t>
            </w:r>
          </w:p>
        </w:tc>
      </w:tr>
      <w:tr>
        <w:tblPrEx>
          <w:tblCellMar>
            <w:top w:w="0" w:type="dxa"/>
            <w:left w:w="108" w:type="dxa"/>
            <w:bottom w:w="0" w:type="dxa"/>
            <w:right w:w="108" w:type="dxa"/>
          </w:tblCellMar>
        </w:tblPrEx>
        <w:trPr>
          <w:trHeight w:val="886"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采购单位：</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参加人员签名：</w:t>
            </w:r>
          </w:p>
        </w:tc>
      </w:tr>
      <w:tr>
        <w:tblPrEx>
          <w:tblCellMar>
            <w:top w:w="0" w:type="dxa"/>
            <w:left w:w="108" w:type="dxa"/>
            <w:bottom w:w="0" w:type="dxa"/>
            <w:right w:w="108" w:type="dxa"/>
          </w:tblCellMar>
        </w:tblPrEx>
        <w:trPr>
          <w:trHeight w:val="914"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供应商：</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参加人员签名：</w:t>
            </w:r>
          </w:p>
        </w:tc>
      </w:tr>
    </w:tbl>
    <w:p>
      <w:pPr>
        <w:snapToGrid w:val="0"/>
        <w:spacing w:line="360" w:lineRule="auto"/>
        <w:rPr>
          <w:rFonts w:ascii="仿宋" w:hAnsi="仿宋" w:eastAsia="仿宋" w:cs="仿宋"/>
          <w:sz w:val="24"/>
          <w:szCs w:val="24"/>
        </w:rPr>
      </w:pPr>
      <w:r>
        <w:rPr>
          <w:rFonts w:hint="eastAsia" w:ascii="仿宋" w:hAnsi="仿宋" w:eastAsia="仿宋" w:cs="仿宋"/>
          <w:kern w:val="2"/>
          <w:sz w:val="24"/>
          <w:szCs w:val="24"/>
        </w:rPr>
        <w:t>本项目勘察现场供应商需进行签字确认。登记表原件胶装在正本，复印件胶装在副本。</w:t>
      </w:r>
    </w:p>
    <w:p>
      <w:pPr>
        <w:snapToGrid w:val="0"/>
        <w:spacing w:line="360" w:lineRule="auto"/>
        <w:ind w:firstLine="482"/>
        <w:rPr>
          <w:rFonts w:ascii="仿宋" w:hAnsi="仿宋" w:eastAsia="仿宋" w:cs="仿宋"/>
          <w:sz w:val="24"/>
          <w:szCs w:val="24"/>
        </w:rPr>
      </w:pPr>
    </w:p>
    <w:p>
      <w:pPr>
        <w:snapToGrid w:val="0"/>
        <w:spacing w:line="360" w:lineRule="auto"/>
        <w:ind w:firstLine="482"/>
        <w:rPr>
          <w:rFonts w:ascii="仿宋" w:hAnsi="仿宋" w:eastAsia="仿宋" w:cs="仿宋"/>
          <w:sz w:val="24"/>
          <w:szCs w:val="24"/>
        </w:rPr>
      </w:pPr>
    </w:p>
    <w:p>
      <w:pPr>
        <w:pageBreakBefore/>
        <w:spacing w:line="360" w:lineRule="auto"/>
        <w:jc w:val="center"/>
        <w:rPr>
          <w:rFonts w:ascii="仿宋" w:hAnsi="仿宋" w:eastAsia="仿宋" w:cs="仿宋"/>
        </w:rPr>
      </w:pPr>
      <w:r>
        <w:rPr>
          <w:rFonts w:hint="eastAsia" w:ascii="仿宋" w:hAnsi="仿宋" w:eastAsia="仿宋" w:cs="仿宋"/>
          <w:bCs/>
          <w:sz w:val="24"/>
          <w:szCs w:val="24"/>
        </w:rPr>
        <w:t>保证金退还申请表</w:t>
      </w:r>
    </w:p>
    <w:p>
      <w:pPr>
        <w:spacing w:line="360" w:lineRule="auto"/>
        <w:rPr>
          <w:rFonts w:ascii="仿宋" w:hAnsi="仿宋" w:eastAsia="仿宋" w:cs="仿宋"/>
        </w:rPr>
      </w:pPr>
      <w:r>
        <w:rPr>
          <w:rFonts w:hint="eastAsia" w:ascii="仿宋" w:hAnsi="仿宋" w:eastAsia="仿宋" w:cs="仿宋"/>
          <w:sz w:val="24"/>
          <w:szCs w:val="24"/>
        </w:rPr>
        <w:t xml:space="preserve">  公司名称（公章）：                              时间：</w:t>
      </w:r>
    </w:p>
    <w:tbl>
      <w:tblPr>
        <w:tblStyle w:val="20"/>
        <w:tblW w:w="8283" w:type="dxa"/>
        <w:tblInd w:w="108" w:type="dxa"/>
        <w:tblLayout w:type="fixed"/>
        <w:tblCellMar>
          <w:top w:w="0" w:type="dxa"/>
          <w:left w:w="108" w:type="dxa"/>
          <w:bottom w:w="0" w:type="dxa"/>
          <w:right w:w="108" w:type="dxa"/>
        </w:tblCellMar>
      </w:tblPr>
      <w:tblGrid>
        <w:gridCol w:w="3960"/>
        <w:gridCol w:w="4323"/>
      </w:tblGrid>
      <w:tr>
        <w:tblPrEx>
          <w:tblCellMar>
            <w:top w:w="0" w:type="dxa"/>
            <w:left w:w="108" w:type="dxa"/>
            <w:bottom w:w="0" w:type="dxa"/>
            <w:right w:w="108" w:type="dxa"/>
          </w:tblCellMar>
        </w:tblPrEx>
        <w:trPr>
          <w:trHeight w:val="768" w:hRule="atLeast"/>
        </w:trPr>
        <w:tc>
          <w:tcPr>
            <w:tcW w:w="3960" w:type="dxa"/>
            <w:tcBorders>
              <w:top w:val="single" w:color="000000" w:sz="4" w:space="0"/>
              <w:left w:val="single" w:color="000000" w:sz="4" w:space="0"/>
              <w:bottom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项目名称：</w:t>
            </w:r>
          </w:p>
        </w:tc>
        <w:tc>
          <w:tcPr>
            <w:tcW w:w="4323" w:type="dxa"/>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项目编号：</w:t>
            </w:r>
          </w:p>
        </w:tc>
      </w:tr>
      <w:tr>
        <w:tblPrEx>
          <w:tblCellMar>
            <w:top w:w="0" w:type="dxa"/>
            <w:left w:w="108" w:type="dxa"/>
            <w:bottom w:w="0" w:type="dxa"/>
            <w:right w:w="108" w:type="dxa"/>
          </w:tblCellMar>
        </w:tblPrEx>
        <w:trPr>
          <w:trHeight w:val="760"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所响应段：</w:t>
            </w:r>
          </w:p>
        </w:tc>
      </w:tr>
      <w:tr>
        <w:tblPrEx>
          <w:tblCellMar>
            <w:top w:w="0" w:type="dxa"/>
            <w:left w:w="108" w:type="dxa"/>
            <w:bottom w:w="0" w:type="dxa"/>
            <w:right w:w="108" w:type="dxa"/>
          </w:tblCellMar>
        </w:tblPrEx>
        <w:trPr>
          <w:trHeight w:val="77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 xml:space="preserve">交纳保证金时间: </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交纳保证金方式（现金/电汇）:</w:t>
            </w:r>
          </w:p>
        </w:tc>
      </w:tr>
      <w:tr>
        <w:tblPrEx>
          <w:tblCellMar>
            <w:top w:w="0" w:type="dxa"/>
            <w:left w:w="108" w:type="dxa"/>
            <w:bottom w:w="0" w:type="dxa"/>
            <w:right w:w="108" w:type="dxa"/>
          </w:tblCellMar>
        </w:tblPrEx>
        <w:trPr>
          <w:trHeight w:val="924"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交纳保证金金额：小写：</w:t>
            </w:r>
          </w:p>
          <w:p>
            <w:pPr>
              <w:spacing w:line="360" w:lineRule="auto"/>
              <w:rPr>
                <w:rFonts w:ascii="仿宋" w:hAnsi="仿宋" w:eastAsia="仿宋" w:cs="仿宋"/>
              </w:rPr>
            </w:pPr>
            <w:r>
              <w:rPr>
                <w:rFonts w:hint="eastAsia" w:ascii="仿宋" w:hAnsi="仿宋" w:eastAsia="仿宋" w:cs="仿宋"/>
                <w:sz w:val="24"/>
                <w:szCs w:val="24"/>
              </w:rPr>
              <w:t xml:space="preserve">                大写：</w:t>
            </w:r>
          </w:p>
        </w:tc>
      </w:tr>
      <w:tr>
        <w:tblPrEx>
          <w:tblCellMar>
            <w:top w:w="0" w:type="dxa"/>
            <w:left w:w="108" w:type="dxa"/>
            <w:bottom w:w="0" w:type="dxa"/>
            <w:right w:w="108" w:type="dxa"/>
          </w:tblCellMar>
        </w:tblPrEx>
        <w:trPr>
          <w:trHeight w:val="935"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退付保证金金额：小写：</w:t>
            </w:r>
          </w:p>
          <w:p>
            <w:pPr>
              <w:spacing w:line="360" w:lineRule="auto"/>
              <w:rPr>
                <w:rFonts w:ascii="仿宋" w:hAnsi="仿宋" w:eastAsia="仿宋" w:cs="仿宋"/>
              </w:rPr>
            </w:pPr>
            <w:r>
              <w:rPr>
                <w:rFonts w:hint="eastAsia" w:ascii="仿宋" w:hAnsi="仿宋" w:eastAsia="仿宋" w:cs="仿宋"/>
                <w:sz w:val="24"/>
                <w:szCs w:val="24"/>
              </w:rPr>
              <w:t xml:space="preserve">                大写：</w:t>
            </w:r>
          </w:p>
        </w:tc>
      </w:tr>
      <w:tr>
        <w:tblPrEx>
          <w:tblCellMar>
            <w:top w:w="0" w:type="dxa"/>
            <w:left w:w="108" w:type="dxa"/>
            <w:bottom w:w="0" w:type="dxa"/>
            <w:right w:w="108" w:type="dxa"/>
          </w:tblCellMar>
        </w:tblPrEx>
        <w:trPr>
          <w:trHeight w:val="325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退付保证金账号</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账户：</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账号：</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开户银行：</w:t>
            </w:r>
          </w:p>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59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联系人：                        联系电话：</w:t>
            </w:r>
          </w:p>
        </w:tc>
      </w:tr>
    </w:tbl>
    <w:p>
      <w:pPr>
        <w:spacing w:line="360" w:lineRule="auto"/>
        <w:rPr>
          <w:rFonts w:ascii="仿宋" w:hAnsi="仿宋" w:eastAsia="仿宋" w:cs="仿宋"/>
          <w:sz w:val="24"/>
          <w:szCs w:val="24"/>
        </w:rPr>
      </w:pPr>
      <w:r>
        <w:rPr>
          <w:rFonts w:hint="eastAsia" w:ascii="仿宋" w:hAnsi="仿宋" w:eastAsia="仿宋" w:cs="仿宋"/>
          <w:sz w:val="24"/>
          <w:szCs w:val="24"/>
        </w:rPr>
        <w:t>注：1、开标结束后，请务必将此表填写完整发到山东盛和招标代理有限公司邮箱（shzbqdb@163.com）,邮件命名为：保证金退还-项目名称-项目编号-公司名称。我们会尽快办理保证金退还事宜。</w:t>
      </w:r>
    </w:p>
    <w:p>
      <w:pPr>
        <w:pStyle w:val="4"/>
        <w:rPr>
          <w:rFonts w:ascii="仿宋" w:hAnsi="仿宋" w:eastAsia="仿宋" w:cs="仿宋"/>
          <w:b w:val="0"/>
        </w:rPr>
      </w:pPr>
      <w:r>
        <w:rPr>
          <w:rFonts w:hint="eastAsia" w:ascii="仿宋" w:hAnsi="仿宋" w:eastAsia="仿宋" w:cs="仿宋"/>
          <w:b w:val="0"/>
          <w:sz w:val="24"/>
          <w:szCs w:val="24"/>
        </w:rPr>
        <w:br w:type="page"/>
      </w:r>
      <w:bookmarkStart w:id="51" w:name="_Toc535048522"/>
      <w:bookmarkStart w:id="52" w:name="_Toc8406"/>
      <w:r>
        <w:rPr>
          <w:rFonts w:hint="eastAsia" w:ascii="仿宋" w:hAnsi="仿宋" w:eastAsia="仿宋" w:cs="仿宋"/>
          <w:b w:val="0"/>
        </w:rPr>
        <w:t>密封件封面格式</w:t>
      </w:r>
      <w:bookmarkEnd w:id="51"/>
      <w:bookmarkEnd w:id="52"/>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7" w:hRule="atLeast"/>
          <w:jc w:val="center"/>
        </w:trPr>
        <w:tc>
          <w:tcPr>
            <w:tcW w:w="9083" w:type="dxa"/>
          </w:tcPr>
          <w:p>
            <w:pPr>
              <w:pStyle w:val="9"/>
              <w:spacing w:line="240" w:lineRule="auto"/>
              <w:ind w:firstLine="0" w:firstLineChars="0"/>
              <w:jc w:val="center"/>
              <w:rPr>
                <w:rFonts w:ascii="仿宋" w:hAnsi="仿宋" w:eastAsia="仿宋" w:cs="仿宋"/>
                <w:sz w:val="40"/>
              </w:rPr>
            </w:pPr>
          </w:p>
          <w:p>
            <w:pPr>
              <w:pStyle w:val="9"/>
              <w:spacing w:line="240" w:lineRule="auto"/>
              <w:ind w:firstLine="0" w:firstLineChars="0"/>
              <w:jc w:val="center"/>
              <w:rPr>
                <w:rFonts w:ascii="仿宋" w:hAnsi="仿宋" w:eastAsia="仿宋" w:cs="仿宋"/>
                <w:sz w:val="36"/>
              </w:rPr>
            </w:pPr>
            <w:r>
              <w:rPr>
                <w:rFonts w:hint="eastAsia" w:ascii="仿宋" w:hAnsi="仿宋" w:eastAsia="仿宋" w:cs="仿宋"/>
                <w:sz w:val="36"/>
              </w:rPr>
              <w:t>报价一览表</w:t>
            </w:r>
          </w:p>
          <w:p>
            <w:pPr>
              <w:pStyle w:val="9"/>
              <w:spacing w:line="240" w:lineRule="auto"/>
              <w:ind w:firstLine="0" w:firstLineChars="0"/>
              <w:jc w:val="center"/>
              <w:rPr>
                <w:rFonts w:ascii="仿宋" w:hAnsi="仿宋" w:eastAsia="仿宋" w:cs="仿宋"/>
                <w:sz w:val="36"/>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jc w:val="center"/>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40"/>
              </w:rPr>
            </w:pPr>
          </w:p>
        </w:tc>
      </w:tr>
    </w:tbl>
    <w:p>
      <w:pPr>
        <w:rPr>
          <w:rFonts w:ascii="仿宋" w:hAnsi="仿宋" w:eastAsia="仿宋" w:cs="仿宋"/>
        </w:rPr>
      </w:pPr>
    </w:p>
    <w:p>
      <w:pPr>
        <w:rPr>
          <w:rFonts w:ascii="仿宋" w:hAnsi="仿宋" w:eastAsia="仿宋" w:cs="仿宋"/>
        </w:rPr>
      </w:pPr>
    </w:p>
    <w:tbl>
      <w:tblPr>
        <w:tblStyle w:val="20"/>
        <w:tblpPr w:leftFromText="180" w:rightFromText="180" w:vertAnchor="text" w:horzAnchor="margin" w:tblpY="56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52"/>
                <w:szCs w:val="52"/>
              </w:rPr>
            </w:pPr>
            <w:r>
              <w:rPr>
                <w:rFonts w:hint="eastAsia" w:ascii="仿宋" w:hAnsi="仿宋" w:eastAsia="仿宋" w:cs="仿宋"/>
                <w:sz w:val="52"/>
                <w:szCs w:val="52"/>
              </w:rPr>
              <w:t>响应文件</w:t>
            </w:r>
          </w:p>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正本</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pStyle w:val="2"/>
      </w:pPr>
    </w:p>
    <w:tbl>
      <w:tblPr>
        <w:tblStyle w:val="20"/>
        <w:tblpPr w:leftFromText="180" w:rightFromText="180" w:vertAnchor="text" w:horzAnchor="margin" w:tblpY="39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响应文件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副本</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pStyle w:val="2"/>
      </w:pPr>
    </w:p>
    <w:tbl>
      <w:tblPr>
        <w:tblStyle w:val="20"/>
        <w:tblpPr w:leftFromText="180" w:rightFromText="180" w:vertAnchor="text" w:horzAnchor="margin" w:tblpY="139"/>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vanish/>
        </w:rPr>
      </w:pPr>
      <w:r>
        <w:rPr>
          <w:rFonts w:hint="eastAsia" w:ascii="仿宋" w:hAnsi="仿宋" w:eastAsia="仿宋" w:cs="仿宋"/>
        </w:rPr>
        <w:br w:type="page"/>
      </w: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资质证明文件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rPr>
          <w:rFonts w:ascii="仿宋" w:hAnsi="仿宋" w:eastAsia="仿宋" w:cs="仿宋"/>
        </w:rPr>
      </w:pPr>
    </w:p>
    <w:tbl>
      <w:tblPr>
        <w:tblStyle w:val="20"/>
        <w:tblpPr w:leftFromText="180" w:rightFromText="180" w:vertAnchor="text" w:horzAnchor="margin" w:tblpY="35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p>
      <w:pPr>
        <w:rPr>
          <w:rFonts w:ascii="仿宋" w:hAnsi="仿宋" w:eastAsia="仿宋" w:cs="仿宋"/>
        </w:rPr>
      </w:pPr>
    </w:p>
    <w:tbl>
      <w:tblPr>
        <w:tblStyle w:val="20"/>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8" w:hRule="atLeast"/>
          <w:jc w:val="center"/>
        </w:trPr>
        <w:tc>
          <w:tcPr>
            <w:tcW w:w="9083" w:type="dxa"/>
          </w:tcPr>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响应文件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（电子版）</w:t>
            </w: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44"/>
                <w:szCs w:val="52"/>
              </w:rPr>
            </w:pPr>
            <w:r>
              <w:rPr>
                <w:rFonts w:hint="eastAsia" w:ascii="仿宋" w:hAnsi="仿宋" w:eastAsia="仿宋" w:cs="仿宋"/>
                <w:sz w:val="36"/>
                <w:szCs w:val="44"/>
              </w:rPr>
              <w:t>电话：</w:t>
            </w:r>
          </w:p>
        </w:tc>
      </w:tr>
    </w:tbl>
    <w:p>
      <w:pPr>
        <w:rPr>
          <w:rFonts w:ascii="仿宋" w:hAnsi="仿宋" w:eastAsia="仿宋" w:cs="仿宋"/>
          <w:vanish/>
        </w:rPr>
      </w:pPr>
    </w:p>
    <w:p/>
    <w:p>
      <w:pPr>
        <w:pStyle w:val="2"/>
      </w:pPr>
    </w:p>
    <w:tbl>
      <w:tblPr>
        <w:tblStyle w:val="2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sectPr>
      <w:pgSz w:w="11907" w:h="16840"/>
      <w:pgMar w:top="1247" w:right="1418" w:bottom="1247" w:left="162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jc w:val="both"/>
    </w:pPr>
    <w:r>
      <w:rPr>
        <w:kern w:val="0"/>
      </w:rPr>
      <w:drawing>
        <wp:inline distT="0" distB="0" distL="0" distR="0">
          <wp:extent cx="390525" cy="390525"/>
          <wp:effectExtent l="0" t="0" r="9525" b="9525"/>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rPr>
        <w:rFonts w:hint="eastAsia"/>
        <w:lang w:eastAsia="zh-CN"/>
      </w:rPr>
      <w:t>SDSHZB2019-615</w:t>
    </w:r>
    <w:r>
      <w:rPr>
        <w:rFonts w:hint="eastAsia"/>
      </w:rPr>
      <w:t xml:space="preserve">                                           山东盛和招标代理有限公司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E04"/>
    <w:multiLevelType w:val="multilevel"/>
    <w:tmpl w:val="03562E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CB2DF2"/>
    <w:multiLevelType w:val="multilevel"/>
    <w:tmpl w:val="16CB2DF2"/>
    <w:lvl w:ilvl="0" w:tentative="0">
      <w:start w:val="1"/>
      <w:numFmt w:val="chineseCountingThousand"/>
      <w:lvlText w:val="第%1条"/>
      <w:lvlJc w:val="left"/>
      <w:pPr>
        <w:tabs>
          <w:tab w:val="left" w:pos="720"/>
        </w:tabs>
        <w:ind w:left="720" w:hanging="720"/>
      </w:pPr>
      <w:rPr>
        <w:rFonts w:hint="eastAsia" w:eastAsia="黑体"/>
        <w:b w:val="0"/>
        <w:i w:val="0"/>
      </w:rPr>
    </w:lvl>
    <w:lvl w:ilvl="1" w:tentative="0">
      <w:start w:val="1"/>
      <w:numFmt w:val="decimal"/>
      <w:lvlText w:val="%2."/>
      <w:lvlJc w:val="left"/>
      <w:pPr>
        <w:tabs>
          <w:tab w:val="left" w:pos="510"/>
        </w:tabs>
        <w:ind w:left="0" w:firstLine="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9C13D5"/>
    <w:multiLevelType w:val="multilevel"/>
    <w:tmpl w:val="519C13D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1A0A40"/>
    <w:multiLevelType w:val="singleLevel"/>
    <w:tmpl w:val="6A1A0A40"/>
    <w:lvl w:ilvl="0" w:tentative="0">
      <w:start w:val="2"/>
      <w:numFmt w:val="decimal"/>
      <w:suff w:val="nothing"/>
      <w:lvlText w:val="（%1）"/>
      <w:lvlJc w:val="left"/>
    </w:lvl>
  </w:abstractNum>
  <w:num w:numId="1">
    <w:abstractNumId w:val="3"/>
  </w:num>
  <w:num w:numId="2">
    <w:abstractNumId w:val="1"/>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B779F"/>
    <w:rsid w:val="00092523"/>
    <w:rsid w:val="001B779F"/>
    <w:rsid w:val="00331911"/>
    <w:rsid w:val="003F1282"/>
    <w:rsid w:val="00452942"/>
    <w:rsid w:val="005406C5"/>
    <w:rsid w:val="0081709E"/>
    <w:rsid w:val="00971A34"/>
    <w:rsid w:val="009909E8"/>
    <w:rsid w:val="00BA5EDC"/>
    <w:rsid w:val="00D215B9"/>
    <w:rsid w:val="00E3167C"/>
    <w:rsid w:val="07026B72"/>
    <w:rsid w:val="078E2457"/>
    <w:rsid w:val="07E5630C"/>
    <w:rsid w:val="097C120A"/>
    <w:rsid w:val="0B0B3F51"/>
    <w:rsid w:val="0CF41B9C"/>
    <w:rsid w:val="14FE7939"/>
    <w:rsid w:val="167550D8"/>
    <w:rsid w:val="184F35BA"/>
    <w:rsid w:val="1C527F53"/>
    <w:rsid w:val="1C923894"/>
    <w:rsid w:val="22142AFB"/>
    <w:rsid w:val="262C54CD"/>
    <w:rsid w:val="263D7B91"/>
    <w:rsid w:val="26F521CA"/>
    <w:rsid w:val="278134B3"/>
    <w:rsid w:val="2BA7324C"/>
    <w:rsid w:val="366467B4"/>
    <w:rsid w:val="375362E9"/>
    <w:rsid w:val="39841A49"/>
    <w:rsid w:val="4118381D"/>
    <w:rsid w:val="4A1F3DE7"/>
    <w:rsid w:val="4E6D4197"/>
    <w:rsid w:val="4F4475D0"/>
    <w:rsid w:val="50D02EF3"/>
    <w:rsid w:val="541D7CCC"/>
    <w:rsid w:val="5E8A23C4"/>
    <w:rsid w:val="5ED91FC8"/>
    <w:rsid w:val="5F417240"/>
    <w:rsid w:val="60403C91"/>
    <w:rsid w:val="664B49E7"/>
    <w:rsid w:val="67003135"/>
    <w:rsid w:val="6A3C3B2B"/>
    <w:rsid w:val="6E6C3165"/>
    <w:rsid w:val="74B31199"/>
    <w:rsid w:val="74CF55B7"/>
    <w:rsid w:val="755725CA"/>
    <w:rsid w:val="792B2D27"/>
    <w:rsid w:val="79BC286D"/>
    <w:rsid w:val="7F72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uppressAutoHyphens/>
      <w:jc w:val="both"/>
    </w:pPr>
    <w:rPr>
      <w:rFonts w:ascii="Times New Roman" w:hAnsi="Times New Roman" w:eastAsia="宋体" w:cs="Times New Roman"/>
      <w:kern w:val="1"/>
      <w:sz w:val="28"/>
      <w:lang w:val="en-US" w:eastAsia="zh-CN" w:bidi="ar-SA"/>
    </w:rPr>
  </w:style>
  <w:style w:type="paragraph" w:styleId="3">
    <w:name w:val="heading 1"/>
    <w:basedOn w:val="1"/>
    <w:next w:val="1"/>
    <w:link w:val="27"/>
    <w:qFormat/>
    <w:uiPriority w:val="99"/>
    <w:pPr>
      <w:keepNext/>
      <w:keepLines/>
      <w:spacing w:before="340" w:after="330" w:line="480" w:lineRule="auto"/>
      <w:outlineLvl w:val="0"/>
    </w:pPr>
    <w:rPr>
      <w:b/>
      <w:sz w:val="44"/>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29"/>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0"/>
    <w:qFormat/>
    <w:uiPriority w:val="0"/>
    <w:pPr>
      <w:keepNext/>
      <w:outlineLvl w:val="3"/>
    </w:pPr>
    <w:rPr>
      <w:kern w:val="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8948"/>
      </w:tabs>
      <w:spacing w:line="360" w:lineRule="exact"/>
    </w:pPr>
    <w:rPr>
      <w:rFonts w:ascii="宋体" w:hAnsi="宋体" w:cs="宋体"/>
      <w:sz w:val="21"/>
      <w:szCs w:val="44"/>
    </w:rPr>
  </w:style>
  <w:style w:type="paragraph" w:styleId="7">
    <w:name w:val="annotation text"/>
    <w:basedOn w:val="1"/>
    <w:link w:val="33"/>
    <w:qFormat/>
    <w:uiPriority w:val="99"/>
    <w:pPr>
      <w:jc w:val="left"/>
    </w:pPr>
  </w:style>
  <w:style w:type="paragraph" w:styleId="8">
    <w:name w:val="Body Text"/>
    <w:basedOn w:val="1"/>
    <w:link w:val="31"/>
    <w:semiHidden/>
    <w:unhideWhenUsed/>
    <w:qFormat/>
    <w:uiPriority w:val="99"/>
    <w:pPr>
      <w:spacing w:after="120"/>
    </w:pPr>
  </w:style>
  <w:style w:type="paragraph" w:styleId="9">
    <w:name w:val="Body Text Indent"/>
    <w:basedOn w:val="1"/>
    <w:link w:val="34"/>
    <w:qFormat/>
    <w:uiPriority w:val="99"/>
    <w:pPr>
      <w:spacing w:line="480" w:lineRule="exact"/>
      <w:ind w:firstLine="538" w:firstLineChars="192"/>
      <w:jc w:val="left"/>
    </w:pPr>
    <w:rPr>
      <w:rFonts w:ascii="宋体"/>
      <w:kern w:val="2"/>
      <w:szCs w:val="24"/>
    </w:rPr>
  </w:style>
  <w:style w:type="paragraph" w:styleId="10">
    <w:name w:val="toc 3"/>
    <w:basedOn w:val="1"/>
    <w:next w:val="1"/>
    <w:unhideWhenUsed/>
    <w:qFormat/>
    <w:uiPriority w:val="39"/>
    <w:pPr>
      <w:ind w:left="840" w:leftChars="400"/>
    </w:pPr>
  </w:style>
  <w:style w:type="paragraph" w:styleId="11">
    <w:name w:val="Balloon Text"/>
    <w:basedOn w:val="1"/>
    <w:link w:val="35"/>
    <w:qFormat/>
    <w:uiPriority w:val="0"/>
    <w:rPr>
      <w:sz w:val="18"/>
      <w:szCs w:val="18"/>
    </w:rPr>
  </w:style>
  <w:style w:type="paragraph" w:styleId="12">
    <w:name w:val="footer"/>
    <w:basedOn w:val="1"/>
    <w:link w:val="36"/>
    <w:qFormat/>
    <w:uiPriority w:val="99"/>
    <w:pPr>
      <w:tabs>
        <w:tab w:val="center" w:pos="4153"/>
        <w:tab w:val="right" w:pos="8306"/>
      </w:tabs>
      <w:snapToGrid w:val="0"/>
      <w:jc w:val="left"/>
    </w:pPr>
    <w:rPr>
      <w:sz w:val="18"/>
      <w:szCs w:val="18"/>
    </w:rPr>
  </w:style>
  <w:style w:type="paragraph" w:styleId="13">
    <w:name w:val="header"/>
    <w:basedOn w:val="1"/>
    <w:link w:val="37"/>
    <w:qFormat/>
    <w:uiPriority w:val="99"/>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14">
    <w:name w:val="toc 4"/>
    <w:basedOn w:val="1"/>
    <w:next w:val="1"/>
    <w:semiHidden/>
    <w:unhideWhenUsed/>
    <w:qFormat/>
    <w:uiPriority w:val="0"/>
    <w:pPr>
      <w:ind w:left="1260" w:leftChars="600"/>
    </w:pPr>
  </w:style>
  <w:style w:type="paragraph" w:styleId="15">
    <w:name w:val="toc 2"/>
    <w:basedOn w:val="1"/>
    <w:next w:val="1"/>
    <w:qFormat/>
    <w:uiPriority w:val="39"/>
    <w:pPr>
      <w:ind w:left="420"/>
    </w:pPr>
    <w:rPr>
      <w:rFonts w:ascii="宋体" w:hAnsi="宋体"/>
      <w:bCs/>
      <w:szCs w:val="24"/>
    </w:rPr>
  </w:style>
  <w:style w:type="paragraph" w:styleId="16">
    <w:name w:val="Normal (Web)"/>
    <w:basedOn w:val="1"/>
    <w:qFormat/>
    <w:uiPriority w:val="0"/>
    <w:rPr>
      <w:sz w:val="24"/>
    </w:rPr>
  </w:style>
  <w:style w:type="paragraph" w:styleId="17">
    <w:name w:val="Title"/>
    <w:basedOn w:val="1"/>
    <w:next w:val="1"/>
    <w:link w:val="38"/>
    <w:qFormat/>
    <w:uiPriority w:val="0"/>
    <w:pPr>
      <w:spacing w:before="240" w:after="60"/>
      <w:jc w:val="center"/>
      <w:outlineLvl w:val="0"/>
    </w:pPr>
    <w:rPr>
      <w:rFonts w:ascii="Cambria" w:hAnsi="Cambria"/>
      <w:b/>
      <w:bCs/>
      <w:kern w:val="2"/>
      <w:sz w:val="32"/>
      <w:szCs w:val="32"/>
    </w:rPr>
  </w:style>
  <w:style w:type="paragraph" w:styleId="18">
    <w:name w:val="annotation subject"/>
    <w:basedOn w:val="7"/>
    <w:next w:val="7"/>
    <w:link w:val="39"/>
    <w:qFormat/>
    <w:uiPriority w:val="99"/>
    <w:rPr>
      <w:b/>
      <w:bCs/>
    </w:rPr>
  </w:style>
  <w:style w:type="paragraph" w:styleId="19">
    <w:name w:val="Body Text First Indent"/>
    <w:basedOn w:val="8"/>
    <w:link w:val="32"/>
    <w:semiHidden/>
    <w:unhideWhenUsed/>
    <w:qFormat/>
    <w:uiPriority w:val="99"/>
    <w:pPr>
      <w:ind w:firstLine="420" w:firstLineChars="100"/>
    </w:pPr>
  </w:style>
  <w:style w:type="table" w:styleId="21">
    <w:name w:val="Table Grid"/>
    <w:basedOn w:val="20"/>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unhideWhenUsed/>
    <w:qFormat/>
    <w:uiPriority w:val="0"/>
    <w:rPr>
      <w:rFonts w:cs="Times New Roman"/>
    </w:rPr>
  </w:style>
  <w:style w:type="character" w:styleId="25">
    <w:name w:val="Hyperlink"/>
    <w:qFormat/>
    <w:uiPriority w:val="99"/>
    <w:rPr>
      <w:color w:val="000000"/>
    </w:rPr>
  </w:style>
  <w:style w:type="character" w:styleId="26">
    <w:name w:val="annotation reference"/>
    <w:qFormat/>
    <w:uiPriority w:val="99"/>
    <w:rPr>
      <w:sz w:val="21"/>
      <w:szCs w:val="21"/>
    </w:rPr>
  </w:style>
  <w:style w:type="character" w:customStyle="1" w:styleId="27">
    <w:name w:val="标题 1 Char"/>
    <w:basedOn w:val="22"/>
    <w:link w:val="3"/>
    <w:qFormat/>
    <w:uiPriority w:val="99"/>
    <w:rPr>
      <w:rFonts w:ascii="Times New Roman" w:hAnsi="Times New Roman" w:eastAsia="宋体" w:cs="Times New Roman"/>
      <w:b/>
      <w:kern w:val="1"/>
      <w:sz w:val="44"/>
      <w:szCs w:val="20"/>
    </w:rPr>
  </w:style>
  <w:style w:type="character" w:customStyle="1" w:styleId="28">
    <w:name w:val="标题 2 Char"/>
    <w:basedOn w:val="22"/>
    <w:link w:val="4"/>
    <w:qFormat/>
    <w:uiPriority w:val="0"/>
    <w:rPr>
      <w:rFonts w:ascii="Arial" w:hAnsi="Arial" w:eastAsia="黑体" w:cs="Arial"/>
      <w:b/>
      <w:bCs/>
      <w:kern w:val="1"/>
      <w:sz w:val="32"/>
      <w:szCs w:val="32"/>
    </w:rPr>
  </w:style>
  <w:style w:type="character" w:customStyle="1" w:styleId="29">
    <w:name w:val="标题 3 Char"/>
    <w:basedOn w:val="22"/>
    <w:link w:val="5"/>
    <w:qFormat/>
    <w:uiPriority w:val="0"/>
    <w:rPr>
      <w:rFonts w:ascii="Times New Roman" w:hAnsi="Times New Roman" w:eastAsia="宋体" w:cs="Times New Roman"/>
      <w:b/>
      <w:bCs/>
      <w:kern w:val="1"/>
      <w:sz w:val="32"/>
      <w:szCs w:val="32"/>
    </w:rPr>
  </w:style>
  <w:style w:type="character" w:customStyle="1" w:styleId="30">
    <w:name w:val="标题 4 Char"/>
    <w:basedOn w:val="22"/>
    <w:link w:val="6"/>
    <w:qFormat/>
    <w:uiPriority w:val="0"/>
    <w:rPr>
      <w:rFonts w:ascii="Times New Roman" w:hAnsi="Times New Roman" w:eastAsia="宋体" w:cs="Times New Roman"/>
      <w:sz w:val="28"/>
      <w:szCs w:val="20"/>
    </w:rPr>
  </w:style>
  <w:style w:type="character" w:customStyle="1" w:styleId="31">
    <w:name w:val="正文文本 Char"/>
    <w:basedOn w:val="22"/>
    <w:link w:val="8"/>
    <w:semiHidden/>
    <w:qFormat/>
    <w:uiPriority w:val="99"/>
    <w:rPr>
      <w:rFonts w:ascii="Times New Roman" w:hAnsi="Times New Roman" w:eastAsia="宋体" w:cs="Times New Roman"/>
      <w:kern w:val="1"/>
      <w:sz w:val="28"/>
      <w:szCs w:val="20"/>
    </w:rPr>
  </w:style>
  <w:style w:type="character" w:customStyle="1" w:styleId="32">
    <w:name w:val="正文首行缩进 Char"/>
    <w:basedOn w:val="31"/>
    <w:link w:val="19"/>
    <w:semiHidden/>
    <w:qFormat/>
    <w:uiPriority w:val="99"/>
    <w:rPr>
      <w:rFonts w:ascii="Times New Roman" w:hAnsi="Times New Roman" w:eastAsia="宋体" w:cs="Times New Roman"/>
      <w:kern w:val="1"/>
      <w:sz w:val="28"/>
      <w:szCs w:val="20"/>
    </w:rPr>
  </w:style>
  <w:style w:type="character" w:customStyle="1" w:styleId="33">
    <w:name w:val="批注文字 Char"/>
    <w:basedOn w:val="22"/>
    <w:link w:val="7"/>
    <w:qFormat/>
    <w:uiPriority w:val="99"/>
    <w:rPr>
      <w:rFonts w:ascii="Times New Roman" w:hAnsi="Times New Roman" w:eastAsia="宋体" w:cs="Times New Roman"/>
      <w:kern w:val="1"/>
      <w:sz w:val="28"/>
      <w:szCs w:val="20"/>
    </w:rPr>
  </w:style>
  <w:style w:type="character" w:customStyle="1" w:styleId="34">
    <w:name w:val="正文文本缩进 Char"/>
    <w:basedOn w:val="22"/>
    <w:link w:val="9"/>
    <w:qFormat/>
    <w:uiPriority w:val="99"/>
    <w:rPr>
      <w:rFonts w:ascii="宋体" w:hAnsi="Times New Roman" w:eastAsia="宋体" w:cs="Times New Roman"/>
      <w:sz w:val="28"/>
      <w:szCs w:val="24"/>
    </w:rPr>
  </w:style>
  <w:style w:type="character" w:customStyle="1" w:styleId="35">
    <w:name w:val="批注框文本 Char"/>
    <w:basedOn w:val="22"/>
    <w:link w:val="11"/>
    <w:qFormat/>
    <w:uiPriority w:val="0"/>
    <w:rPr>
      <w:rFonts w:ascii="Times New Roman" w:hAnsi="Times New Roman" w:eastAsia="宋体" w:cs="Times New Roman"/>
      <w:kern w:val="1"/>
      <w:sz w:val="18"/>
      <w:szCs w:val="18"/>
    </w:rPr>
  </w:style>
  <w:style w:type="character" w:customStyle="1" w:styleId="36">
    <w:name w:val="页脚 Char"/>
    <w:basedOn w:val="22"/>
    <w:link w:val="12"/>
    <w:qFormat/>
    <w:uiPriority w:val="99"/>
    <w:rPr>
      <w:rFonts w:ascii="Times New Roman" w:hAnsi="Times New Roman" w:eastAsia="宋体" w:cs="Times New Roman"/>
      <w:kern w:val="1"/>
      <w:sz w:val="18"/>
      <w:szCs w:val="18"/>
    </w:rPr>
  </w:style>
  <w:style w:type="character" w:customStyle="1" w:styleId="37">
    <w:name w:val="页眉 Char"/>
    <w:basedOn w:val="22"/>
    <w:link w:val="13"/>
    <w:qFormat/>
    <w:uiPriority w:val="99"/>
    <w:rPr>
      <w:rFonts w:ascii="Times New Roman" w:hAnsi="Times New Roman" w:eastAsia="宋体" w:cs="Times New Roman"/>
      <w:kern w:val="1"/>
      <w:sz w:val="18"/>
      <w:szCs w:val="18"/>
    </w:rPr>
  </w:style>
  <w:style w:type="character" w:customStyle="1" w:styleId="38">
    <w:name w:val="标题 Char"/>
    <w:basedOn w:val="22"/>
    <w:link w:val="17"/>
    <w:qFormat/>
    <w:uiPriority w:val="0"/>
    <w:rPr>
      <w:rFonts w:ascii="Cambria" w:hAnsi="Cambria" w:eastAsia="宋体" w:cs="Times New Roman"/>
      <w:b/>
      <w:bCs/>
      <w:sz w:val="32"/>
      <w:szCs w:val="32"/>
    </w:rPr>
  </w:style>
  <w:style w:type="character" w:customStyle="1" w:styleId="39">
    <w:name w:val="批注主题 Char"/>
    <w:basedOn w:val="33"/>
    <w:link w:val="18"/>
    <w:qFormat/>
    <w:uiPriority w:val="99"/>
    <w:rPr>
      <w:rFonts w:ascii="Times New Roman" w:hAnsi="Times New Roman" w:eastAsia="宋体" w:cs="Times New Roman"/>
      <w:b/>
      <w:bCs/>
      <w:kern w:val="1"/>
      <w:sz w:val="28"/>
      <w:szCs w:val="20"/>
    </w:rPr>
  </w:style>
  <w:style w:type="paragraph" w:customStyle="1" w:styleId="40">
    <w:name w:val="纯文本1"/>
    <w:basedOn w:val="1"/>
    <w:qFormat/>
    <w:uiPriority w:val="0"/>
    <w:rPr>
      <w:rFonts w:ascii="宋体" w:hAnsi="宋体" w:cs="Courier New"/>
      <w:sz w:val="21"/>
    </w:rPr>
  </w:style>
  <w:style w:type="paragraph" w:customStyle="1" w:styleId="41">
    <w:name w:val="列出段落1"/>
    <w:basedOn w:val="1"/>
    <w:link w:val="45"/>
    <w:qFormat/>
    <w:uiPriority w:val="34"/>
    <w:pPr>
      <w:ind w:firstLine="200"/>
    </w:pPr>
    <w:rPr>
      <w:rFonts w:ascii="Calibri" w:hAnsi="Calibri"/>
      <w:sz w:val="21"/>
      <w:szCs w:val="22"/>
    </w:rPr>
  </w:style>
  <w:style w:type="paragraph" w:customStyle="1" w:styleId="42">
    <w:name w:val="列出段落2"/>
    <w:basedOn w:val="1"/>
    <w:unhideWhenUsed/>
    <w:qFormat/>
    <w:uiPriority w:val="99"/>
    <w:pPr>
      <w:ind w:firstLine="420" w:firstLineChars="200"/>
    </w:pPr>
  </w:style>
  <w:style w:type="paragraph" w:customStyle="1" w:styleId="4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44">
    <w:name w:val="WW8Num3z8"/>
    <w:qFormat/>
    <w:uiPriority w:val="3"/>
  </w:style>
  <w:style w:type="character" w:customStyle="1" w:styleId="45">
    <w:name w:val="列出段落 Char"/>
    <w:link w:val="41"/>
    <w:qFormat/>
    <w:uiPriority w:val="34"/>
    <w:rPr>
      <w:rFonts w:ascii="Calibri" w:hAnsi="Calibri" w:eastAsia="宋体" w:cs="Times New Roman"/>
      <w:kern w:val="1"/>
    </w:rPr>
  </w:style>
  <w:style w:type="character" w:customStyle="1" w:styleId="46">
    <w:name w:val="楷体 (中文) 楷体"/>
    <w:qFormat/>
    <w:uiPriority w:val="0"/>
    <w:rPr>
      <w:rFonts w:ascii="楷体" w:hAnsi="楷体" w:eastAsia="楷体"/>
      <w:kern w:val="1"/>
      <w:sz w:val="28"/>
    </w:rPr>
  </w:style>
  <w:style w:type="paragraph" w:customStyle="1" w:styleId="47">
    <w:name w:val="修订1"/>
    <w:hidden/>
    <w:semiHidden/>
    <w:qFormat/>
    <w:uiPriority w:val="99"/>
    <w:rPr>
      <w:rFonts w:ascii="Times New Roman" w:hAnsi="Times New Roman" w:eastAsia="宋体" w:cs="Times New Roman"/>
      <w:kern w:val="1"/>
      <w:sz w:val="28"/>
      <w:lang w:val="en-US" w:eastAsia="zh-CN" w:bidi="ar-SA"/>
    </w:rPr>
  </w:style>
  <w:style w:type="paragraph" w:customStyle="1" w:styleId="48">
    <w:name w:val="TOC 标题1"/>
    <w:basedOn w:val="3"/>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49">
    <w:name w:val="样式 仿宋"/>
    <w:qFormat/>
    <w:uiPriority w:val="99"/>
    <w:rPr>
      <w:rFonts w:ascii="仿宋" w:hAnsi="仿宋" w:eastAsia="仿宋"/>
      <w:kern w:val="1"/>
    </w:rPr>
  </w:style>
  <w:style w:type="paragraph" w:customStyle="1" w:styleId="50">
    <w:name w:val="列出段落11"/>
    <w:basedOn w:val="1"/>
    <w:qFormat/>
    <w:uiPriority w:val="34"/>
    <w:pPr>
      <w:ind w:firstLine="420" w:firstLineChars="200"/>
    </w:pPr>
    <w:rPr>
      <w:rFonts w:ascii="Calibri" w:hAnsi="Calibri"/>
    </w:rPr>
  </w:style>
  <w:style w:type="character" w:customStyle="1" w:styleId="51">
    <w:name w:val="font31"/>
    <w:basedOn w:val="22"/>
    <w:qFormat/>
    <w:uiPriority w:val="0"/>
    <w:rPr>
      <w:rFonts w:hint="eastAsia" w:ascii="宋体" w:hAnsi="宋体" w:eastAsia="宋体" w:cs="宋体"/>
      <w:color w:val="000000"/>
      <w:sz w:val="20"/>
      <w:szCs w:val="20"/>
      <w:u w:val="none"/>
      <w:vertAlign w:val="superscript"/>
    </w:rPr>
  </w:style>
  <w:style w:type="paragraph" w:styleId="52">
    <w:name w:val="List Paragraph"/>
    <w:basedOn w:val="1"/>
    <w:qFormat/>
    <w:uiPriority w:val="34"/>
    <w:pPr>
      <w:ind w:firstLine="420" w:firstLineChars="200"/>
    </w:pPr>
  </w:style>
  <w:style w:type="paragraph" w:customStyle="1" w:styleId="53">
    <w:name w:val="p0"/>
    <w:basedOn w:val="1"/>
    <w:qFormat/>
    <w:uiPriority w:val="0"/>
    <w:pPr>
      <w:widowControl/>
    </w:pPr>
    <w:rPr>
      <w:kern w:val="0"/>
      <w:szCs w:val="21"/>
    </w:rPr>
  </w:style>
  <w:style w:type="character" w:customStyle="1" w:styleId="54">
    <w:name w:val="font01"/>
    <w:basedOn w:val="22"/>
    <w:qFormat/>
    <w:uiPriority w:val="0"/>
    <w:rPr>
      <w:rFonts w:hint="eastAsia" w:ascii="宋体" w:hAnsi="宋体" w:eastAsia="宋体" w:cs="宋体"/>
      <w:color w:val="000000"/>
      <w:sz w:val="20"/>
      <w:szCs w:val="20"/>
      <w:u w:val="none"/>
    </w:rPr>
  </w:style>
  <w:style w:type="paragraph" w:customStyle="1" w:styleId="55">
    <w:name w:val="张伟正文"/>
    <w:basedOn w:val="1"/>
    <w:qFormat/>
    <w:uiPriority w:val="0"/>
    <w:pPr>
      <w:spacing w:line="280" w:lineRule="exact"/>
      <w:ind w:firstLine="420" w:firstLineChars="200"/>
    </w:pPr>
    <w:rPr>
      <w:rFonts w:ascii="Calibri" w:hAnsi="Calibri"/>
      <w:sz w:val="18"/>
      <w:szCs w:val="18"/>
    </w:rPr>
  </w:style>
  <w:style w:type="character" w:customStyle="1" w:styleId="56">
    <w:name w:val="font21"/>
    <w:basedOn w:val="22"/>
    <w:qFormat/>
    <w:uiPriority w:val="0"/>
    <w:rPr>
      <w:rFonts w:hint="eastAsia" w:ascii="宋体" w:hAnsi="宋体" w:eastAsia="宋体" w:cs="宋体"/>
      <w:color w:val="000000"/>
      <w:sz w:val="20"/>
      <w:szCs w:val="20"/>
      <w:u w:val="none"/>
    </w:rPr>
  </w:style>
  <w:style w:type="paragraph" w:customStyle="1" w:styleId="57">
    <w:name w:val="列表段落1"/>
    <w:basedOn w:val="1"/>
    <w:qFormat/>
    <w:uiPriority w:val="34"/>
    <w:pPr>
      <w:ind w:firstLine="420" w:firstLineChars="200"/>
    </w:pPr>
    <w:rPr>
      <w:rFonts w:ascii="Calibri" w:hAnsi="Calibri"/>
      <w:szCs w:val="22"/>
    </w:rPr>
  </w:style>
  <w:style w:type="paragraph" w:customStyle="1" w:styleId="58">
    <w:name w:val="样式 仿宋 行距: 1.5 倍行距"/>
    <w:basedOn w:val="1"/>
    <w:qFormat/>
    <w:uiPriority w:val="0"/>
    <w:pPr>
      <w:spacing w:line="360" w:lineRule="auto"/>
    </w:pPr>
    <w:rPr>
      <w:rFonts w:ascii="仿宋" w:hAnsi="仿宋" w:eastAsia="仿宋" w:cs="宋体"/>
      <w:sz w:val="24"/>
    </w:rPr>
  </w:style>
  <w:style w:type="character" w:customStyle="1" w:styleId="59">
    <w:name w:val="font61"/>
    <w:basedOn w:val="22"/>
    <w:qFormat/>
    <w:uiPriority w:val="0"/>
    <w:rPr>
      <w:rFonts w:hint="eastAsia" w:ascii="宋体" w:hAnsi="宋体" w:eastAsia="宋体" w:cs="宋体"/>
      <w:color w:val="000000"/>
      <w:sz w:val="20"/>
      <w:szCs w:val="20"/>
      <w:u w:val="none"/>
    </w:rPr>
  </w:style>
  <w:style w:type="character" w:customStyle="1" w:styleId="60">
    <w:name w:val="font11"/>
    <w:basedOn w:val="22"/>
    <w:qFormat/>
    <w:uiPriority w:val="0"/>
    <w:rPr>
      <w:rFonts w:hint="default" w:ascii="等线" w:hAnsi="等线" w:eastAsia="等线" w:cs="等线"/>
      <w:color w:val="000000"/>
      <w:sz w:val="20"/>
      <w:szCs w:val="20"/>
      <w:u w:val="none"/>
    </w:rPr>
  </w:style>
  <w:style w:type="character" w:customStyle="1" w:styleId="61">
    <w:name w:val="font131"/>
    <w:basedOn w:val="22"/>
    <w:qFormat/>
    <w:uiPriority w:val="0"/>
    <w:rPr>
      <w:rFonts w:hint="eastAsia" w:ascii="宋体" w:hAnsi="宋体" w:eastAsia="宋体" w:cs="宋体"/>
      <w:color w:val="000000"/>
      <w:sz w:val="20"/>
      <w:szCs w:val="20"/>
      <w:u w:val="none"/>
      <w:vertAlign w:val="superscript"/>
    </w:rPr>
  </w:style>
  <w:style w:type="character" w:customStyle="1" w:styleId="62">
    <w:name w:val="font121"/>
    <w:basedOn w:val="22"/>
    <w:qFormat/>
    <w:uiPriority w:val="0"/>
    <w:rPr>
      <w:rFonts w:hint="eastAsia" w:ascii="宋体" w:hAnsi="宋体" w:eastAsia="宋体" w:cs="宋体"/>
      <w:color w:val="000000"/>
      <w:sz w:val="20"/>
      <w:szCs w:val="20"/>
      <w:u w:val="none"/>
    </w:rPr>
  </w:style>
  <w:style w:type="character" w:customStyle="1" w:styleId="63">
    <w:name w:val="font51"/>
    <w:basedOn w:val="2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6910</Words>
  <Characters>39388</Characters>
  <Lines>328</Lines>
  <Paragraphs>92</Paragraphs>
  <TotalTime>4</TotalTime>
  <ScaleCrop>false</ScaleCrop>
  <LinksUpToDate>false</LinksUpToDate>
  <CharactersWithSpaces>46206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2019-07-12T10:34:00Z</dcterms:created>
  <dc:creator>user</dc:creator>
  <cp:lastModifiedBy>MSQ</cp:lastModifiedBy>
  <dcterms:modified xsi:type="dcterms:W3CDTF">2019-11-04T10:14:00Z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